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047" w:rsidRDefault="00667047" w:rsidP="00036CAC">
      <w:pPr>
        <w:jc w:val="both"/>
      </w:pPr>
    </w:p>
    <w:p w:rsidR="00036CAC" w:rsidRPr="009C3A75" w:rsidRDefault="00036CAC" w:rsidP="00E95523">
      <w:pPr>
        <w:pBdr>
          <w:top w:val="single" w:sz="4" w:space="1" w:color="auto"/>
          <w:left w:val="single" w:sz="4" w:space="4" w:color="auto"/>
          <w:bottom w:val="single" w:sz="4" w:space="1" w:color="auto"/>
          <w:right w:val="single" w:sz="4" w:space="4" w:color="auto"/>
        </w:pBdr>
        <w:shd w:val="clear" w:color="auto" w:fill="D0CECE" w:themeFill="background2" w:themeFillShade="E6"/>
        <w:spacing w:line="360" w:lineRule="auto"/>
        <w:jc w:val="both"/>
        <w:rPr>
          <w:sz w:val="24"/>
          <w:szCs w:val="24"/>
        </w:rPr>
      </w:pPr>
      <w:r w:rsidRPr="009C3A75">
        <w:rPr>
          <w:sz w:val="24"/>
          <w:szCs w:val="24"/>
        </w:rPr>
        <w:t xml:space="preserve">This plan is enacted when </w:t>
      </w:r>
      <w:r w:rsidR="009B32D4">
        <w:rPr>
          <w:sz w:val="24"/>
          <w:szCs w:val="24"/>
        </w:rPr>
        <w:t>a</w:t>
      </w:r>
      <w:r w:rsidRPr="009C3A75">
        <w:rPr>
          <w:sz w:val="24"/>
          <w:szCs w:val="24"/>
        </w:rPr>
        <w:t xml:space="preserve"> </w:t>
      </w:r>
      <w:r w:rsidR="00AE1027">
        <w:rPr>
          <w:b/>
          <w:color w:val="FF0000"/>
          <w:sz w:val="24"/>
          <w:szCs w:val="24"/>
        </w:rPr>
        <w:t>CHEMICAL/HAZARDOUS SUBSTANCE EMERGENCY</w:t>
      </w:r>
      <w:r w:rsidRPr="009C3A75">
        <w:rPr>
          <w:color w:val="FF0000"/>
          <w:sz w:val="24"/>
          <w:szCs w:val="24"/>
        </w:rPr>
        <w:t xml:space="preserve"> </w:t>
      </w:r>
      <w:r w:rsidRPr="009C3A75">
        <w:rPr>
          <w:sz w:val="24"/>
          <w:szCs w:val="24"/>
        </w:rPr>
        <w:t>is declared</w:t>
      </w:r>
      <w:r w:rsidR="009B32D4">
        <w:rPr>
          <w:sz w:val="24"/>
          <w:szCs w:val="24"/>
        </w:rPr>
        <w:t>,</w:t>
      </w:r>
      <w:r w:rsidRPr="009C3A75">
        <w:rPr>
          <w:sz w:val="24"/>
          <w:szCs w:val="24"/>
        </w:rPr>
        <w:t xml:space="preserve"> and the level of risk to personal safety, property or environment is an immediate risk to escalate.</w:t>
      </w:r>
      <w:r w:rsidR="00102CE6" w:rsidRPr="009C3A75">
        <w:rPr>
          <w:sz w:val="24"/>
          <w:szCs w:val="24"/>
        </w:rPr>
        <w:t xml:space="preserve">  This plan</w:t>
      </w:r>
      <w:r w:rsidR="002A53CD">
        <w:rPr>
          <w:sz w:val="24"/>
          <w:szCs w:val="24"/>
        </w:rPr>
        <w:t xml:space="preserve"> relates to the response of</w:t>
      </w:r>
      <w:r w:rsidR="00102CE6" w:rsidRPr="009C3A75">
        <w:rPr>
          <w:sz w:val="24"/>
          <w:szCs w:val="24"/>
        </w:rPr>
        <w:t xml:space="preserve"> </w:t>
      </w:r>
      <w:r w:rsidR="009C0E9F">
        <w:rPr>
          <w:sz w:val="24"/>
          <w:szCs w:val="24"/>
        </w:rPr>
        <w:t>s</w:t>
      </w:r>
      <w:r w:rsidR="006F28A6">
        <w:rPr>
          <w:sz w:val="24"/>
          <w:szCs w:val="24"/>
        </w:rPr>
        <w:t>taff</w:t>
      </w:r>
      <w:r w:rsidR="009C0E9F">
        <w:rPr>
          <w:sz w:val="24"/>
          <w:szCs w:val="24"/>
        </w:rPr>
        <w:t xml:space="preserve"> and students</w:t>
      </w:r>
      <w:r w:rsidR="00102CE6" w:rsidRPr="009C3A75">
        <w:rPr>
          <w:sz w:val="24"/>
          <w:szCs w:val="24"/>
        </w:rPr>
        <w:t xml:space="preserve"> to a critical incident and</w:t>
      </w:r>
      <w:r w:rsidR="00F66E51">
        <w:rPr>
          <w:sz w:val="24"/>
          <w:szCs w:val="24"/>
        </w:rPr>
        <w:t xml:space="preserve"> supports the Emergency Management Plan (EM</w:t>
      </w:r>
      <w:r w:rsidR="00102CE6" w:rsidRPr="009C3A75">
        <w:rPr>
          <w:sz w:val="24"/>
          <w:szCs w:val="24"/>
        </w:rPr>
        <w:t>P) that exists for the individual buildings.</w:t>
      </w:r>
      <w:r w:rsidR="00667047" w:rsidRPr="009C3A75">
        <w:rPr>
          <w:sz w:val="24"/>
          <w:szCs w:val="24"/>
        </w:rPr>
        <w:t xml:space="preserve">  </w:t>
      </w:r>
    </w:p>
    <w:p w:rsidR="00667047" w:rsidRDefault="00667047" w:rsidP="00E95523">
      <w:pPr>
        <w:spacing w:line="360" w:lineRule="auto"/>
        <w:jc w:val="both"/>
        <w:rPr>
          <w:b/>
          <w:sz w:val="28"/>
          <w:szCs w:val="28"/>
        </w:rPr>
      </w:pPr>
    </w:p>
    <w:p w:rsidR="00AE1027" w:rsidRDefault="00AE1027" w:rsidP="00E95523">
      <w:pPr>
        <w:spacing w:line="360" w:lineRule="auto"/>
        <w:jc w:val="both"/>
      </w:pPr>
      <w:r>
        <w:t xml:space="preserve">Small </w:t>
      </w:r>
      <w:bookmarkStart w:id="0" w:name="_GoBack"/>
      <w:bookmarkEnd w:id="0"/>
      <w:r>
        <w:t xml:space="preserve">spills of relatively innocuous substances can be dealt with on a regular basis by the staff </w:t>
      </w:r>
      <w:r w:rsidR="003F5944">
        <w:t>of UNE.</w:t>
      </w:r>
      <w:r>
        <w:t xml:space="preserve"> Spill kits, eye wash stations and deluge showers are only the equivalent of a fire extinguisher; a ‘first aid’ measure. </w:t>
      </w:r>
      <w:r w:rsidR="009B32D4">
        <w:t>Fire and Rescue (the p</w:t>
      </w:r>
      <w:r w:rsidR="003F5944">
        <w:t>rimary HAZMAT combat agency)</w:t>
      </w:r>
      <w:r w:rsidR="009B32D4">
        <w:t xml:space="preserve"> must be called</w:t>
      </w:r>
      <w:r w:rsidR="003F5944">
        <w:t xml:space="preserve"> to deal with a large unintentional release of a hazardous substance.</w:t>
      </w:r>
    </w:p>
    <w:p w:rsidR="00AE1027" w:rsidRDefault="00AE1027" w:rsidP="00E95523">
      <w:pPr>
        <w:spacing w:line="360" w:lineRule="auto"/>
        <w:jc w:val="both"/>
      </w:pPr>
      <w:r>
        <w:t>Within departments, bulk chemicals are stored in secure hazardous substance stores and distributed in smaller quantities to laboratories. Within individual labs and buildings however, the potential for a release that could be fatal or incapacitate several people wit</w:t>
      </w:r>
      <w:r w:rsidR="003F5944">
        <w:t>hin minutes, does exist. E</w:t>
      </w:r>
      <w:r>
        <w:t>vacuation initiated by those in the immediate area is the only effective first response. After that, issues arise in dealing with displaced people, those suffering from the effects of brief exposure</w:t>
      </w:r>
      <w:r w:rsidR="009B32D4">
        <w:t>,</w:t>
      </w:r>
      <w:r>
        <w:t xml:space="preserve"> and the disruption caused by a significant emergency services response.</w:t>
      </w:r>
    </w:p>
    <w:p w:rsidR="00AE1027" w:rsidRDefault="00AE1027" w:rsidP="00E95523">
      <w:pPr>
        <w:spacing w:line="360" w:lineRule="auto"/>
        <w:jc w:val="both"/>
      </w:pPr>
      <w:r>
        <w:t>Note: In most instances, Departments using hazardous substances have fully qualified technical/specialised staff who have key knowledge and ability and must be consulted over any incident. This includes the specialist building chemicals expert, members of the Hazardous Substances Safety Group, Bio Safety Group and the Radiation Safety Group.</w:t>
      </w:r>
    </w:p>
    <w:p w:rsidR="009C0E9F" w:rsidRDefault="0002112D" w:rsidP="00E95523">
      <w:pPr>
        <w:spacing w:line="360" w:lineRule="auto"/>
        <w:jc w:val="both"/>
        <w:rPr>
          <w:b/>
          <w:sz w:val="28"/>
          <w:szCs w:val="28"/>
        </w:rPr>
      </w:pPr>
      <w:r w:rsidRPr="00CC1265">
        <w:rPr>
          <w:b/>
          <w:sz w:val="28"/>
          <w:szCs w:val="28"/>
        </w:rPr>
        <w:t>Immediate Actions:</w:t>
      </w:r>
    </w:p>
    <w:p w:rsidR="00615960" w:rsidRPr="009C0E9F" w:rsidRDefault="00615960" w:rsidP="00E95523">
      <w:pPr>
        <w:spacing w:line="360" w:lineRule="auto"/>
        <w:jc w:val="both"/>
        <w:rPr>
          <w:b/>
          <w:sz w:val="28"/>
          <w:szCs w:val="28"/>
        </w:rPr>
      </w:pPr>
      <w:r w:rsidRPr="00615960">
        <w:rPr>
          <w:rFonts w:ascii="Arial" w:hAnsi="Arial" w:cs="Arial"/>
          <w:color w:val="C00000"/>
          <w:sz w:val="24"/>
          <w:szCs w:val="28"/>
        </w:rPr>
        <w:t xml:space="preserve">Protect your own life </w:t>
      </w:r>
    </w:p>
    <w:p w:rsidR="00615960" w:rsidRDefault="00615960" w:rsidP="00E95523">
      <w:pPr>
        <w:spacing w:line="360" w:lineRule="auto"/>
        <w:jc w:val="both"/>
        <w:rPr>
          <w:szCs w:val="28"/>
        </w:rPr>
      </w:pPr>
      <w:r w:rsidRPr="00615960">
        <w:rPr>
          <w:szCs w:val="28"/>
        </w:rPr>
        <w:t>In the absence of any direction from the University, use your best judgement</w:t>
      </w:r>
      <w:r w:rsidRPr="006F79A1">
        <w:t xml:space="preserve"> </w:t>
      </w:r>
      <w:r w:rsidRPr="00615960">
        <w:rPr>
          <w:szCs w:val="28"/>
        </w:rPr>
        <w:t>to remove yourself from danger</w:t>
      </w:r>
      <w:r w:rsidR="00E26BDA">
        <w:rPr>
          <w:szCs w:val="28"/>
        </w:rPr>
        <w:t>.</w:t>
      </w:r>
    </w:p>
    <w:p w:rsidR="00615960" w:rsidRPr="003B7D99" w:rsidRDefault="00615960" w:rsidP="00E95523">
      <w:pPr>
        <w:spacing w:line="360" w:lineRule="auto"/>
        <w:jc w:val="both"/>
        <w:rPr>
          <w:rFonts w:ascii="Arial" w:hAnsi="Arial" w:cs="Arial"/>
          <w:color w:val="C00000"/>
          <w:sz w:val="24"/>
          <w:szCs w:val="28"/>
        </w:rPr>
      </w:pPr>
      <w:r w:rsidRPr="003B7D99">
        <w:rPr>
          <w:rFonts w:ascii="Arial" w:hAnsi="Arial" w:cs="Arial"/>
          <w:color w:val="C00000"/>
          <w:sz w:val="24"/>
          <w:szCs w:val="28"/>
        </w:rPr>
        <w:t>Protect the life of your fellow student or staff member</w:t>
      </w:r>
    </w:p>
    <w:p w:rsidR="00615960" w:rsidRDefault="00615960" w:rsidP="00E95523">
      <w:pPr>
        <w:spacing w:line="360" w:lineRule="auto"/>
        <w:jc w:val="both"/>
        <w:rPr>
          <w:szCs w:val="28"/>
        </w:rPr>
      </w:pPr>
      <w:r>
        <w:rPr>
          <w:szCs w:val="28"/>
        </w:rPr>
        <w:t>Ring ‘000’ and Safety and Security 6773 2099</w:t>
      </w:r>
      <w:r w:rsidR="009B32D4">
        <w:rPr>
          <w:szCs w:val="28"/>
        </w:rPr>
        <w:t>.</w:t>
      </w:r>
      <w:r>
        <w:rPr>
          <w:szCs w:val="28"/>
        </w:rPr>
        <w:t xml:space="preserve"> </w:t>
      </w:r>
    </w:p>
    <w:p w:rsidR="00615960" w:rsidRDefault="00615960" w:rsidP="00E95523">
      <w:pPr>
        <w:spacing w:line="360" w:lineRule="auto"/>
        <w:jc w:val="both"/>
        <w:rPr>
          <w:szCs w:val="28"/>
        </w:rPr>
      </w:pPr>
      <w:r w:rsidRPr="00684056">
        <w:rPr>
          <w:szCs w:val="28"/>
        </w:rPr>
        <w:t>Alert others in your immediate area to the danger, and act together for the benefit of everyone. Try to identify the safest escape route.</w:t>
      </w:r>
    </w:p>
    <w:p w:rsidR="000E0900" w:rsidRPr="00615960" w:rsidRDefault="000E0900" w:rsidP="00E95523">
      <w:pPr>
        <w:spacing w:line="360" w:lineRule="auto"/>
        <w:jc w:val="both"/>
        <w:rPr>
          <w:rFonts w:ascii="Arial" w:hAnsi="Arial" w:cs="Arial"/>
          <w:color w:val="C00000"/>
          <w:sz w:val="24"/>
          <w:szCs w:val="28"/>
        </w:rPr>
      </w:pPr>
      <w:r>
        <w:rPr>
          <w:rFonts w:ascii="Arial" w:hAnsi="Arial" w:cs="Arial"/>
          <w:color w:val="C00000"/>
          <w:sz w:val="24"/>
          <w:szCs w:val="28"/>
        </w:rPr>
        <w:lastRenderedPageBreak/>
        <w:t>Evacuate</w:t>
      </w:r>
    </w:p>
    <w:p w:rsidR="000E0900" w:rsidRPr="0002112D" w:rsidRDefault="009B32D4" w:rsidP="00E95523">
      <w:pPr>
        <w:spacing w:line="360" w:lineRule="auto"/>
        <w:jc w:val="both"/>
        <w:rPr>
          <w:szCs w:val="28"/>
        </w:rPr>
      </w:pPr>
      <w:r>
        <w:rPr>
          <w:szCs w:val="28"/>
        </w:rPr>
        <w:t xml:space="preserve">Evacuate areas affected </w:t>
      </w:r>
      <w:r w:rsidR="000E0900" w:rsidRPr="0002112D">
        <w:rPr>
          <w:szCs w:val="28"/>
        </w:rPr>
        <w:t>N</w:t>
      </w:r>
      <w:r>
        <w:rPr>
          <w:szCs w:val="28"/>
        </w:rPr>
        <w:t>.</w:t>
      </w:r>
      <w:r w:rsidR="000E0900" w:rsidRPr="0002112D">
        <w:rPr>
          <w:szCs w:val="28"/>
        </w:rPr>
        <w:t>B</w:t>
      </w:r>
      <w:r>
        <w:rPr>
          <w:szCs w:val="28"/>
        </w:rPr>
        <w:t>.</w:t>
      </w:r>
      <w:r w:rsidR="000E0900" w:rsidRPr="0002112D">
        <w:rPr>
          <w:szCs w:val="28"/>
        </w:rPr>
        <w:t xml:space="preserve"> anyone sent to assist with evacuation must not enter an area where they can be affected by the release of the chemical substance.</w:t>
      </w:r>
    </w:p>
    <w:p w:rsidR="000E0900" w:rsidRPr="00615960" w:rsidRDefault="000E0900" w:rsidP="00E95523">
      <w:pPr>
        <w:spacing w:line="360" w:lineRule="auto"/>
        <w:jc w:val="both"/>
        <w:rPr>
          <w:b/>
          <w:szCs w:val="28"/>
        </w:rPr>
      </w:pPr>
      <w:r>
        <w:rPr>
          <w:b/>
          <w:szCs w:val="28"/>
        </w:rPr>
        <w:t>Evacuate if</w:t>
      </w:r>
      <w:r w:rsidRPr="00615960">
        <w:rPr>
          <w:b/>
          <w:szCs w:val="28"/>
        </w:rPr>
        <w:t>:</w:t>
      </w:r>
    </w:p>
    <w:p w:rsidR="00615960" w:rsidRPr="00615960" w:rsidRDefault="009B32D4" w:rsidP="00E95523">
      <w:pPr>
        <w:pStyle w:val="ListParagraph"/>
        <w:numPr>
          <w:ilvl w:val="0"/>
          <w:numId w:val="23"/>
        </w:numPr>
        <w:spacing w:line="360" w:lineRule="auto"/>
        <w:jc w:val="both"/>
        <w:rPr>
          <w:szCs w:val="28"/>
        </w:rPr>
      </w:pPr>
      <w:r>
        <w:rPr>
          <w:szCs w:val="28"/>
        </w:rPr>
        <w:t>Vapours/g</w:t>
      </w:r>
      <w:r w:rsidR="00615960" w:rsidRPr="00615960">
        <w:rPr>
          <w:szCs w:val="28"/>
        </w:rPr>
        <w:t>as present a risk of explosion.</w:t>
      </w:r>
    </w:p>
    <w:p w:rsidR="00615960" w:rsidRPr="00615960" w:rsidRDefault="00615960" w:rsidP="00E95523">
      <w:pPr>
        <w:pStyle w:val="ListParagraph"/>
        <w:numPr>
          <w:ilvl w:val="0"/>
          <w:numId w:val="23"/>
        </w:numPr>
        <w:spacing w:line="360" w:lineRule="auto"/>
        <w:jc w:val="both"/>
        <w:rPr>
          <w:szCs w:val="28"/>
        </w:rPr>
      </w:pPr>
      <w:r w:rsidRPr="00615960">
        <w:rPr>
          <w:szCs w:val="28"/>
        </w:rPr>
        <w:t>Fumes, gas, vapours would take a long time to clear from the area.</w:t>
      </w:r>
    </w:p>
    <w:p w:rsidR="00615960" w:rsidRPr="00615960" w:rsidRDefault="00615960" w:rsidP="00E95523">
      <w:pPr>
        <w:pStyle w:val="ListParagraph"/>
        <w:numPr>
          <w:ilvl w:val="0"/>
          <w:numId w:val="23"/>
        </w:numPr>
        <w:spacing w:line="360" w:lineRule="auto"/>
        <w:jc w:val="both"/>
        <w:rPr>
          <w:szCs w:val="28"/>
        </w:rPr>
      </w:pPr>
      <w:r w:rsidRPr="00615960">
        <w:rPr>
          <w:szCs w:val="28"/>
        </w:rPr>
        <w:t>The building cannot be tightly closed. Do not activate the fire alarm if gas vapour is present (risk of explosion).</w:t>
      </w:r>
    </w:p>
    <w:p w:rsidR="0002112D" w:rsidRPr="00615960" w:rsidRDefault="0002112D" w:rsidP="00E95523">
      <w:pPr>
        <w:spacing w:line="360" w:lineRule="auto"/>
        <w:jc w:val="both"/>
        <w:rPr>
          <w:b/>
          <w:szCs w:val="28"/>
        </w:rPr>
      </w:pPr>
      <w:r w:rsidRPr="00615960">
        <w:rPr>
          <w:b/>
          <w:szCs w:val="28"/>
        </w:rPr>
        <w:t>Move people</w:t>
      </w:r>
      <w:r w:rsidR="00615960" w:rsidRPr="00615960">
        <w:rPr>
          <w:b/>
          <w:szCs w:val="28"/>
        </w:rPr>
        <w:t>:</w:t>
      </w:r>
    </w:p>
    <w:p w:rsidR="0002112D" w:rsidRPr="0002112D" w:rsidRDefault="0002112D" w:rsidP="00E95523">
      <w:pPr>
        <w:pStyle w:val="ListParagraph"/>
        <w:numPr>
          <w:ilvl w:val="0"/>
          <w:numId w:val="21"/>
        </w:numPr>
        <w:spacing w:line="360" w:lineRule="auto"/>
        <w:jc w:val="both"/>
        <w:rPr>
          <w:szCs w:val="28"/>
        </w:rPr>
      </w:pPr>
      <w:r w:rsidRPr="0002112D">
        <w:rPr>
          <w:szCs w:val="28"/>
        </w:rPr>
        <w:t>Upwind, Uphill.</w:t>
      </w:r>
    </w:p>
    <w:p w:rsidR="0002112D" w:rsidRPr="0002112D" w:rsidRDefault="0002112D" w:rsidP="00E95523">
      <w:pPr>
        <w:pStyle w:val="ListParagraph"/>
        <w:numPr>
          <w:ilvl w:val="0"/>
          <w:numId w:val="21"/>
        </w:numPr>
        <w:spacing w:line="360" w:lineRule="auto"/>
        <w:jc w:val="both"/>
        <w:rPr>
          <w:szCs w:val="28"/>
        </w:rPr>
      </w:pPr>
      <w:r w:rsidRPr="0002112D">
        <w:rPr>
          <w:szCs w:val="28"/>
        </w:rPr>
        <w:t>Move people only as far as necessary for safety – they may transfer contamination.</w:t>
      </w:r>
    </w:p>
    <w:p w:rsidR="0002112D" w:rsidRPr="0002112D" w:rsidRDefault="0002112D" w:rsidP="00E95523">
      <w:pPr>
        <w:pStyle w:val="ListParagraph"/>
        <w:numPr>
          <w:ilvl w:val="0"/>
          <w:numId w:val="21"/>
        </w:numPr>
        <w:spacing w:line="360" w:lineRule="auto"/>
        <w:jc w:val="both"/>
        <w:rPr>
          <w:szCs w:val="28"/>
        </w:rPr>
      </w:pPr>
      <w:r w:rsidRPr="0002112D">
        <w:rPr>
          <w:szCs w:val="28"/>
        </w:rPr>
        <w:t>Accommodate those held where medical help can reach them quickly and ambulance (stretcher) access is easy.</w:t>
      </w:r>
    </w:p>
    <w:p w:rsidR="0002112D" w:rsidRPr="0002112D" w:rsidRDefault="0002112D" w:rsidP="00E95523">
      <w:pPr>
        <w:pStyle w:val="ListParagraph"/>
        <w:numPr>
          <w:ilvl w:val="0"/>
          <w:numId w:val="21"/>
        </w:numPr>
        <w:spacing w:line="360" w:lineRule="auto"/>
        <w:jc w:val="both"/>
        <w:rPr>
          <w:szCs w:val="28"/>
        </w:rPr>
      </w:pPr>
      <w:r w:rsidRPr="0002112D">
        <w:rPr>
          <w:szCs w:val="28"/>
        </w:rPr>
        <w:t>Control and hold all those exposed or potentially exposed (they will need to be briefed and their details recorded in case of delayed effects).</w:t>
      </w:r>
    </w:p>
    <w:p w:rsidR="0002112D" w:rsidRPr="00615960" w:rsidRDefault="0002112D" w:rsidP="00E95523">
      <w:pPr>
        <w:spacing w:line="360" w:lineRule="auto"/>
        <w:jc w:val="both"/>
        <w:rPr>
          <w:b/>
          <w:szCs w:val="28"/>
        </w:rPr>
      </w:pPr>
      <w:r w:rsidRPr="00615960">
        <w:rPr>
          <w:b/>
          <w:szCs w:val="28"/>
        </w:rPr>
        <w:t>Protect in place if:</w:t>
      </w:r>
    </w:p>
    <w:p w:rsidR="0002112D" w:rsidRPr="00615960" w:rsidRDefault="0002112D" w:rsidP="00E95523">
      <w:pPr>
        <w:pStyle w:val="ListParagraph"/>
        <w:numPr>
          <w:ilvl w:val="0"/>
          <w:numId w:val="22"/>
        </w:numPr>
        <w:spacing w:line="360" w:lineRule="auto"/>
        <w:jc w:val="both"/>
        <w:rPr>
          <w:szCs w:val="28"/>
        </w:rPr>
      </w:pPr>
      <w:r w:rsidRPr="00615960">
        <w:rPr>
          <w:szCs w:val="28"/>
        </w:rPr>
        <w:t>There is not enough time to evacuate before the hazard affects the area.</w:t>
      </w:r>
    </w:p>
    <w:p w:rsidR="0002112D" w:rsidRPr="00615960" w:rsidRDefault="0002112D" w:rsidP="00E95523">
      <w:pPr>
        <w:pStyle w:val="ListParagraph"/>
        <w:numPr>
          <w:ilvl w:val="0"/>
          <w:numId w:val="22"/>
        </w:numPr>
        <w:spacing w:line="360" w:lineRule="auto"/>
        <w:jc w:val="both"/>
        <w:rPr>
          <w:szCs w:val="28"/>
        </w:rPr>
      </w:pPr>
      <w:r w:rsidRPr="00615960">
        <w:rPr>
          <w:szCs w:val="28"/>
        </w:rPr>
        <w:t>The incident and hazard are likely to be of short duration (approximately one hour).</w:t>
      </w:r>
    </w:p>
    <w:p w:rsidR="0002112D" w:rsidRPr="00615960" w:rsidRDefault="0002112D" w:rsidP="00E95523">
      <w:pPr>
        <w:pStyle w:val="ListParagraph"/>
        <w:numPr>
          <w:ilvl w:val="0"/>
          <w:numId w:val="22"/>
        </w:numPr>
        <w:spacing w:line="360" w:lineRule="auto"/>
        <w:jc w:val="both"/>
        <w:rPr>
          <w:szCs w:val="28"/>
        </w:rPr>
      </w:pPr>
      <w:r w:rsidRPr="00615960">
        <w:rPr>
          <w:szCs w:val="28"/>
        </w:rPr>
        <w:t>There is concern for contamination.</w:t>
      </w:r>
    </w:p>
    <w:p w:rsidR="0002112D" w:rsidRPr="00615960" w:rsidRDefault="0002112D" w:rsidP="00E95523">
      <w:pPr>
        <w:spacing w:line="360" w:lineRule="auto"/>
        <w:jc w:val="both"/>
        <w:rPr>
          <w:b/>
          <w:szCs w:val="28"/>
        </w:rPr>
      </w:pPr>
      <w:r w:rsidRPr="00615960">
        <w:rPr>
          <w:b/>
          <w:szCs w:val="28"/>
        </w:rPr>
        <w:t>Supplementing medical response</w:t>
      </w:r>
      <w:r w:rsidR="00B84E93">
        <w:rPr>
          <w:b/>
          <w:szCs w:val="28"/>
        </w:rPr>
        <w:t>:</w:t>
      </w:r>
    </w:p>
    <w:p w:rsidR="0002112D" w:rsidRPr="00615960" w:rsidRDefault="0002112D" w:rsidP="00E95523">
      <w:pPr>
        <w:pStyle w:val="ListParagraph"/>
        <w:numPr>
          <w:ilvl w:val="0"/>
          <w:numId w:val="24"/>
        </w:numPr>
        <w:spacing w:line="360" w:lineRule="auto"/>
        <w:jc w:val="both"/>
        <w:rPr>
          <w:szCs w:val="28"/>
        </w:rPr>
      </w:pPr>
      <w:r w:rsidRPr="00615960">
        <w:rPr>
          <w:szCs w:val="28"/>
        </w:rPr>
        <w:t>If more than 10 people are affected and require medical help, emergency services may initially have difficulty in providing that assistance.</w:t>
      </w:r>
    </w:p>
    <w:p w:rsidR="0002112D" w:rsidRPr="00615960" w:rsidRDefault="0002112D" w:rsidP="00E95523">
      <w:pPr>
        <w:pStyle w:val="ListParagraph"/>
        <w:numPr>
          <w:ilvl w:val="0"/>
          <w:numId w:val="24"/>
        </w:numPr>
        <w:spacing w:line="360" w:lineRule="auto"/>
        <w:jc w:val="both"/>
        <w:rPr>
          <w:szCs w:val="28"/>
        </w:rPr>
      </w:pPr>
      <w:r w:rsidRPr="00615960">
        <w:rPr>
          <w:szCs w:val="28"/>
        </w:rPr>
        <w:t>Use surrounding building 1</w:t>
      </w:r>
      <w:r w:rsidRPr="00615960">
        <w:rPr>
          <w:szCs w:val="28"/>
          <w:vertAlign w:val="superscript"/>
        </w:rPr>
        <w:t>st</w:t>
      </w:r>
      <w:r w:rsidRPr="00615960">
        <w:rPr>
          <w:szCs w:val="28"/>
        </w:rPr>
        <w:t xml:space="preserve"> aid responders to assist.</w:t>
      </w:r>
    </w:p>
    <w:p w:rsidR="0002112D" w:rsidRPr="00615960" w:rsidRDefault="0002112D" w:rsidP="00E95523">
      <w:pPr>
        <w:pStyle w:val="ListParagraph"/>
        <w:numPr>
          <w:ilvl w:val="0"/>
          <w:numId w:val="24"/>
        </w:numPr>
        <w:spacing w:line="360" w:lineRule="auto"/>
        <w:jc w:val="both"/>
        <w:rPr>
          <w:szCs w:val="28"/>
        </w:rPr>
      </w:pPr>
      <w:r w:rsidRPr="00615960">
        <w:rPr>
          <w:szCs w:val="28"/>
        </w:rPr>
        <w:t>Provide an area for medical treatment that:</w:t>
      </w:r>
    </w:p>
    <w:p w:rsidR="0002112D" w:rsidRPr="00615960" w:rsidRDefault="0002112D" w:rsidP="00E95523">
      <w:pPr>
        <w:pStyle w:val="ListParagraph"/>
        <w:numPr>
          <w:ilvl w:val="1"/>
          <w:numId w:val="24"/>
        </w:numPr>
        <w:spacing w:line="360" w:lineRule="auto"/>
        <w:jc w:val="both"/>
        <w:rPr>
          <w:szCs w:val="28"/>
        </w:rPr>
      </w:pPr>
      <w:r w:rsidRPr="00615960">
        <w:rPr>
          <w:szCs w:val="28"/>
        </w:rPr>
        <w:t>has water and washing facilities;</w:t>
      </w:r>
    </w:p>
    <w:p w:rsidR="0002112D" w:rsidRPr="00615960" w:rsidRDefault="0002112D" w:rsidP="00E95523">
      <w:pPr>
        <w:pStyle w:val="ListParagraph"/>
        <w:numPr>
          <w:ilvl w:val="1"/>
          <w:numId w:val="24"/>
        </w:numPr>
        <w:spacing w:line="360" w:lineRule="auto"/>
        <w:jc w:val="both"/>
        <w:rPr>
          <w:szCs w:val="28"/>
        </w:rPr>
      </w:pPr>
      <w:r w:rsidRPr="00615960">
        <w:rPr>
          <w:szCs w:val="28"/>
        </w:rPr>
        <w:t>can be cordoned off;</w:t>
      </w:r>
    </w:p>
    <w:p w:rsidR="0002112D" w:rsidRPr="00615960" w:rsidRDefault="0002112D" w:rsidP="00E95523">
      <w:pPr>
        <w:pStyle w:val="ListParagraph"/>
        <w:numPr>
          <w:ilvl w:val="1"/>
          <w:numId w:val="24"/>
        </w:numPr>
        <w:spacing w:line="360" w:lineRule="auto"/>
        <w:jc w:val="both"/>
        <w:rPr>
          <w:szCs w:val="28"/>
        </w:rPr>
      </w:pPr>
      <w:r w:rsidRPr="00615960">
        <w:rPr>
          <w:szCs w:val="28"/>
        </w:rPr>
        <w:t>has separate entrances and exits; and</w:t>
      </w:r>
    </w:p>
    <w:p w:rsidR="0002112D" w:rsidRPr="00615960" w:rsidRDefault="009C0E9F" w:rsidP="00E95523">
      <w:pPr>
        <w:pStyle w:val="ListParagraph"/>
        <w:numPr>
          <w:ilvl w:val="1"/>
          <w:numId w:val="24"/>
        </w:numPr>
        <w:spacing w:line="360" w:lineRule="auto"/>
        <w:jc w:val="both"/>
        <w:rPr>
          <w:szCs w:val="28"/>
        </w:rPr>
      </w:pPr>
      <w:r w:rsidRPr="00615960">
        <w:rPr>
          <w:szCs w:val="28"/>
        </w:rPr>
        <w:lastRenderedPageBreak/>
        <w:t>Can</w:t>
      </w:r>
      <w:r w:rsidR="0002112D" w:rsidRPr="00615960">
        <w:rPr>
          <w:szCs w:val="28"/>
        </w:rPr>
        <w:t xml:space="preserve"> easily be reached by ambulance staff with a stretcher. </w:t>
      </w:r>
    </w:p>
    <w:p w:rsidR="0002112D" w:rsidRPr="00615960" w:rsidRDefault="0002112D" w:rsidP="00E95523">
      <w:pPr>
        <w:spacing w:line="360" w:lineRule="auto"/>
        <w:jc w:val="both"/>
        <w:rPr>
          <w:b/>
          <w:szCs w:val="28"/>
        </w:rPr>
      </w:pPr>
      <w:r w:rsidRPr="00615960">
        <w:rPr>
          <w:b/>
          <w:szCs w:val="28"/>
        </w:rPr>
        <w:t>Collect all information about the substance and incident (if safe to do so)</w:t>
      </w:r>
      <w:r w:rsidR="00B84E93">
        <w:rPr>
          <w:b/>
          <w:szCs w:val="28"/>
        </w:rPr>
        <w:t>:</w:t>
      </w:r>
    </w:p>
    <w:p w:rsidR="0002112D" w:rsidRPr="00615960" w:rsidRDefault="0002112D" w:rsidP="00E95523">
      <w:pPr>
        <w:pStyle w:val="ListParagraph"/>
        <w:numPr>
          <w:ilvl w:val="0"/>
          <w:numId w:val="25"/>
        </w:numPr>
        <w:spacing w:line="360" w:lineRule="auto"/>
        <w:jc w:val="both"/>
        <w:rPr>
          <w:szCs w:val="28"/>
        </w:rPr>
      </w:pPr>
      <w:r w:rsidRPr="00615960">
        <w:rPr>
          <w:szCs w:val="28"/>
        </w:rPr>
        <w:t>Locate the chemical specialist for the building affected</w:t>
      </w:r>
    </w:p>
    <w:p w:rsidR="0002112D" w:rsidRDefault="0002112D" w:rsidP="00E95523">
      <w:pPr>
        <w:pStyle w:val="ListParagraph"/>
        <w:numPr>
          <w:ilvl w:val="0"/>
          <w:numId w:val="25"/>
        </w:numPr>
        <w:spacing w:line="360" w:lineRule="auto"/>
        <w:jc w:val="both"/>
        <w:rPr>
          <w:szCs w:val="28"/>
        </w:rPr>
      </w:pPr>
      <w:r w:rsidRPr="00615960">
        <w:rPr>
          <w:szCs w:val="28"/>
        </w:rPr>
        <w:t>Chemwatch</w:t>
      </w:r>
      <w:r w:rsidR="00F1626A">
        <w:rPr>
          <w:szCs w:val="28"/>
        </w:rPr>
        <w:t xml:space="preserve"> has all chemicals and volumes for each building along with Safety Data Sheets.</w:t>
      </w:r>
    </w:p>
    <w:p w:rsidR="00615960" w:rsidRPr="00615960" w:rsidRDefault="0002112D" w:rsidP="00E95523">
      <w:pPr>
        <w:pStyle w:val="ListParagraph"/>
        <w:numPr>
          <w:ilvl w:val="0"/>
          <w:numId w:val="25"/>
        </w:numPr>
        <w:spacing w:line="360" w:lineRule="auto"/>
        <w:jc w:val="both"/>
        <w:rPr>
          <w:szCs w:val="28"/>
        </w:rPr>
      </w:pPr>
      <w:r w:rsidRPr="00615960">
        <w:rPr>
          <w:szCs w:val="28"/>
        </w:rPr>
        <w:t>Gather specific information like;</w:t>
      </w:r>
      <w:r w:rsidRPr="00236E1B">
        <w:t xml:space="preserve"> </w:t>
      </w:r>
    </w:p>
    <w:p w:rsidR="00615960" w:rsidRPr="00615960" w:rsidRDefault="00615960" w:rsidP="00E95523">
      <w:pPr>
        <w:pStyle w:val="ListParagraph"/>
        <w:numPr>
          <w:ilvl w:val="1"/>
          <w:numId w:val="25"/>
        </w:numPr>
        <w:spacing w:line="360" w:lineRule="auto"/>
        <w:jc w:val="both"/>
        <w:rPr>
          <w:szCs w:val="28"/>
        </w:rPr>
      </w:pPr>
      <w:r>
        <w:t>proper (technical) name;</w:t>
      </w:r>
    </w:p>
    <w:p w:rsidR="00615960" w:rsidRPr="00615960" w:rsidRDefault="0002112D" w:rsidP="00E95523">
      <w:pPr>
        <w:pStyle w:val="ListParagraph"/>
        <w:numPr>
          <w:ilvl w:val="1"/>
          <w:numId w:val="25"/>
        </w:numPr>
        <w:spacing w:line="360" w:lineRule="auto"/>
        <w:jc w:val="both"/>
        <w:rPr>
          <w:szCs w:val="28"/>
        </w:rPr>
      </w:pPr>
      <w:r>
        <w:t>shipping or trade name;</w:t>
      </w:r>
    </w:p>
    <w:p w:rsidR="00615960" w:rsidRPr="00615960" w:rsidRDefault="0002112D" w:rsidP="00E95523">
      <w:pPr>
        <w:pStyle w:val="ListParagraph"/>
        <w:numPr>
          <w:ilvl w:val="1"/>
          <w:numId w:val="25"/>
        </w:numPr>
        <w:spacing w:line="360" w:lineRule="auto"/>
        <w:jc w:val="both"/>
        <w:rPr>
          <w:szCs w:val="28"/>
        </w:rPr>
      </w:pPr>
      <w:r>
        <w:t>UN number;</w:t>
      </w:r>
    </w:p>
    <w:p w:rsidR="00615960" w:rsidRPr="00615960" w:rsidRDefault="0002112D" w:rsidP="00E95523">
      <w:pPr>
        <w:pStyle w:val="ListParagraph"/>
        <w:numPr>
          <w:ilvl w:val="1"/>
          <w:numId w:val="25"/>
        </w:numPr>
        <w:spacing w:line="360" w:lineRule="auto"/>
        <w:jc w:val="both"/>
        <w:rPr>
          <w:szCs w:val="28"/>
        </w:rPr>
      </w:pPr>
      <w:r>
        <w:t>dangerous goods class (number);</w:t>
      </w:r>
    </w:p>
    <w:p w:rsidR="00615960" w:rsidRPr="00615960" w:rsidRDefault="0002112D" w:rsidP="00E95523">
      <w:pPr>
        <w:pStyle w:val="ListParagraph"/>
        <w:numPr>
          <w:ilvl w:val="1"/>
          <w:numId w:val="25"/>
        </w:numPr>
        <w:spacing w:line="360" w:lineRule="auto"/>
        <w:jc w:val="both"/>
        <w:rPr>
          <w:szCs w:val="28"/>
        </w:rPr>
      </w:pPr>
      <w:r>
        <w:t>phase (solid, liquid, gas);</w:t>
      </w:r>
    </w:p>
    <w:p w:rsidR="00615960" w:rsidRPr="00615960" w:rsidRDefault="0002112D" w:rsidP="00E95523">
      <w:pPr>
        <w:pStyle w:val="ListParagraph"/>
        <w:numPr>
          <w:ilvl w:val="1"/>
          <w:numId w:val="25"/>
        </w:numPr>
        <w:spacing w:line="360" w:lineRule="auto"/>
        <w:jc w:val="both"/>
        <w:rPr>
          <w:szCs w:val="28"/>
        </w:rPr>
      </w:pPr>
      <w:r>
        <w:t>quantity;</w:t>
      </w:r>
    </w:p>
    <w:p w:rsidR="00615960" w:rsidRPr="00615960" w:rsidRDefault="0002112D" w:rsidP="00E95523">
      <w:pPr>
        <w:pStyle w:val="ListParagraph"/>
        <w:numPr>
          <w:ilvl w:val="1"/>
          <w:numId w:val="25"/>
        </w:numPr>
        <w:spacing w:line="360" w:lineRule="auto"/>
        <w:jc w:val="both"/>
        <w:rPr>
          <w:szCs w:val="28"/>
        </w:rPr>
      </w:pPr>
      <w:r>
        <w:t>colour;</w:t>
      </w:r>
    </w:p>
    <w:p w:rsidR="00615960" w:rsidRPr="00615960" w:rsidRDefault="0002112D" w:rsidP="00E95523">
      <w:pPr>
        <w:pStyle w:val="ListParagraph"/>
        <w:numPr>
          <w:ilvl w:val="1"/>
          <w:numId w:val="25"/>
        </w:numPr>
        <w:spacing w:line="360" w:lineRule="auto"/>
        <w:jc w:val="both"/>
        <w:rPr>
          <w:szCs w:val="28"/>
        </w:rPr>
      </w:pPr>
      <w:r>
        <w:t>behaviour (e.g. fuming, reacting with water or air);</w:t>
      </w:r>
    </w:p>
    <w:p w:rsidR="00615960" w:rsidRPr="00615960" w:rsidRDefault="009C0E9F" w:rsidP="00E95523">
      <w:pPr>
        <w:pStyle w:val="ListParagraph"/>
        <w:numPr>
          <w:ilvl w:val="1"/>
          <w:numId w:val="25"/>
        </w:numPr>
        <w:spacing w:line="360" w:lineRule="auto"/>
        <w:jc w:val="both"/>
        <w:rPr>
          <w:szCs w:val="28"/>
        </w:rPr>
      </w:pPr>
      <w:r>
        <w:t>type of container;</w:t>
      </w:r>
    </w:p>
    <w:p w:rsidR="00AE1027" w:rsidRPr="00615960" w:rsidRDefault="0002112D" w:rsidP="00E95523">
      <w:pPr>
        <w:pStyle w:val="ListParagraph"/>
        <w:numPr>
          <w:ilvl w:val="1"/>
          <w:numId w:val="25"/>
        </w:numPr>
        <w:spacing w:line="360" w:lineRule="auto"/>
        <w:jc w:val="both"/>
        <w:rPr>
          <w:szCs w:val="28"/>
        </w:rPr>
      </w:pPr>
      <w:r>
        <w:t>effect o</w:t>
      </w:r>
      <w:r w:rsidR="009C0E9F">
        <w:t>n people (symptoms of exposure);</w:t>
      </w:r>
    </w:p>
    <w:p w:rsidR="00AE1027" w:rsidRPr="00AE1027" w:rsidRDefault="00AE1027" w:rsidP="00E95523">
      <w:pPr>
        <w:spacing w:before="269" w:after="134" w:line="360" w:lineRule="auto"/>
        <w:jc w:val="both"/>
        <w:outlineLvl w:val="4"/>
        <w:rPr>
          <w:rFonts w:ascii="Arial" w:eastAsia="Times New Roman" w:hAnsi="Arial" w:cs="Arial"/>
          <w:bCs/>
          <w:color w:val="C00000"/>
          <w:sz w:val="24"/>
        </w:rPr>
      </w:pPr>
      <w:r w:rsidRPr="00AE1027">
        <w:rPr>
          <w:rFonts w:ascii="Arial" w:eastAsia="Times New Roman" w:hAnsi="Arial" w:cs="Arial"/>
          <w:bCs/>
          <w:color w:val="C00000"/>
          <w:sz w:val="24"/>
        </w:rPr>
        <w:t>Isolate the hazard</w:t>
      </w:r>
    </w:p>
    <w:p w:rsidR="00AE1027" w:rsidRPr="00AE1027" w:rsidRDefault="00AE1027" w:rsidP="00E95523">
      <w:pPr>
        <w:numPr>
          <w:ilvl w:val="0"/>
          <w:numId w:val="19"/>
        </w:numPr>
        <w:spacing w:before="80" w:after="80" w:line="360" w:lineRule="auto"/>
        <w:jc w:val="both"/>
        <w:rPr>
          <w:rFonts w:eastAsia="Times New Roman" w:cs="Arial"/>
        </w:rPr>
      </w:pPr>
      <w:r w:rsidRPr="00AE1027">
        <w:rPr>
          <w:rFonts w:eastAsia="Times New Roman" w:cs="Arial"/>
        </w:rPr>
        <w:t>Restrict unnecessary movement into and through the area to avoid spreading contamination. Isolate the affected area at a safe distance by erecting a temporary barricade and placing suitable warning signs.</w:t>
      </w:r>
    </w:p>
    <w:p w:rsidR="00AE1027" w:rsidRPr="00AE1027" w:rsidRDefault="00AE1027" w:rsidP="00E95523">
      <w:pPr>
        <w:numPr>
          <w:ilvl w:val="0"/>
          <w:numId w:val="19"/>
        </w:numPr>
        <w:spacing w:before="80" w:after="80" w:line="360" w:lineRule="auto"/>
        <w:jc w:val="both"/>
        <w:rPr>
          <w:rFonts w:eastAsia="Times New Roman" w:cs="Arial"/>
        </w:rPr>
      </w:pPr>
      <w:r w:rsidRPr="00AE1027">
        <w:rPr>
          <w:rFonts w:eastAsia="Times New Roman" w:cs="Arial"/>
        </w:rPr>
        <w:t>It may be necessary to turn off the air conditioning to restrict the spread of gases and vapours.</w:t>
      </w:r>
    </w:p>
    <w:p w:rsidR="0002112D" w:rsidRDefault="0002112D" w:rsidP="00E95523">
      <w:pPr>
        <w:spacing w:line="360" w:lineRule="auto"/>
        <w:jc w:val="both"/>
        <w:rPr>
          <w:b/>
          <w:sz w:val="28"/>
          <w:szCs w:val="28"/>
        </w:rPr>
      </w:pPr>
    </w:p>
    <w:sectPr w:rsidR="0002112D" w:rsidSect="002601B2">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CAC" w:rsidRDefault="00036CAC" w:rsidP="00036CAC">
      <w:pPr>
        <w:spacing w:after="0" w:line="240" w:lineRule="auto"/>
      </w:pPr>
      <w:r>
        <w:separator/>
      </w:r>
    </w:p>
  </w:endnote>
  <w:endnote w:type="continuationSeparator" w:id="0">
    <w:p w:rsidR="00036CAC" w:rsidRDefault="00036CAC" w:rsidP="00036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77"/>
      <w:gridCol w:w="1478"/>
      <w:gridCol w:w="1477"/>
      <w:gridCol w:w="1478"/>
      <w:gridCol w:w="1477"/>
      <w:gridCol w:w="1478"/>
      <w:gridCol w:w="1478"/>
    </w:tblGrid>
    <w:tr w:rsidR="009B32D4" w:rsidRPr="00CE4252" w:rsidTr="00E578AB">
      <w:tc>
        <w:tcPr>
          <w:tcW w:w="1477" w:type="dxa"/>
        </w:tcPr>
        <w:p w:rsidR="009B32D4" w:rsidRPr="00CE4252" w:rsidRDefault="009B32D4" w:rsidP="009B32D4">
          <w:pPr>
            <w:pStyle w:val="Footer"/>
            <w:jc w:val="center"/>
            <w:rPr>
              <w:rFonts w:ascii="Arial" w:hAnsi="Arial" w:cs="Arial"/>
              <w:sz w:val="18"/>
              <w:szCs w:val="18"/>
            </w:rPr>
          </w:pPr>
          <w:r w:rsidRPr="00CE4252">
            <w:rPr>
              <w:rFonts w:ascii="Arial" w:hAnsi="Arial" w:cs="Arial"/>
              <w:sz w:val="18"/>
              <w:szCs w:val="18"/>
            </w:rPr>
            <w:t>Document Reference</w:t>
          </w:r>
        </w:p>
      </w:tc>
      <w:tc>
        <w:tcPr>
          <w:tcW w:w="1478" w:type="dxa"/>
        </w:tcPr>
        <w:p w:rsidR="009B32D4" w:rsidRPr="00CE4252" w:rsidRDefault="009B32D4" w:rsidP="009B32D4">
          <w:pPr>
            <w:pStyle w:val="Footer"/>
            <w:jc w:val="center"/>
            <w:rPr>
              <w:rFonts w:ascii="Arial" w:hAnsi="Arial" w:cs="Arial"/>
              <w:sz w:val="18"/>
              <w:szCs w:val="18"/>
            </w:rPr>
          </w:pPr>
          <w:r>
            <w:rPr>
              <w:rFonts w:ascii="Arial" w:hAnsi="Arial" w:cs="Arial"/>
              <w:sz w:val="18"/>
              <w:szCs w:val="18"/>
            </w:rPr>
            <w:t>Procedure Reference</w:t>
          </w:r>
        </w:p>
      </w:tc>
      <w:tc>
        <w:tcPr>
          <w:tcW w:w="1477" w:type="dxa"/>
        </w:tcPr>
        <w:p w:rsidR="009B32D4" w:rsidRPr="00CE4252" w:rsidRDefault="009B32D4" w:rsidP="009B32D4">
          <w:pPr>
            <w:pStyle w:val="Footer"/>
            <w:jc w:val="center"/>
            <w:rPr>
              <w:rFonts w:ascii="Arial" w:hAnsi="Arial" w:cs="Arial"/>
              <w:sz w:val="18"/>
              <w:szCs w:val="18"/>
            </w:rPr>
          </w:pPr>
          <w:r w:rsidRPr="00CE4252">
            <w:rPr>
              <w:rFonts w:ascii="Arial" w:hAnsi="Arial" w:cs="Arial"/>
              <w:sz w:val="18"/>
              <w:szCs w:val="18"/>
            </w:rPr>
            <w:t>Version</w:t>
          </w:r>
        </w:p>
      </w:tc>
      <w:tc>
        <w:tcPr>
          <w:tcW w:w="1478" w:type="dxa"/>
        </w:tcPr>
        <w:p w:rsidR="009B32D4" w:rsidRPr="00CE4252" w:rsidRDefault="009B32D4" w:rsidP="009B32D4">
          <w:pPr>
            <w:pStyle w:val="Footer"/>
            <w:jc w:val="center"/>
            <w:rPr>
              <w:rFonts w:ascii="Arial" w:hAnsi="Arial" w:cs="Arial"/>
              <w:sz w:val="18"/>
              <w:szCs w:val="18"/>
            </w:rPr>
          </w:pPr>
          <w:r>
            <w:rPr>
              <w:rFonts w:ascii="Arial" w:hAnsi="Arial" w:cs="Arial"/>
              <w:sz w:val="18"/>
              <w:szCs w:val="18"/>
            </w:rPr>
            <w:t>Effective Date</w:t>
          </w:r>
        </w:p>
      </w:tc>
      <w:tc>
        <w:tcPr>
          <w:tcW w:w="1477" w:type="dxa"/>
        </w:tcPr>
        <w:p w:rsidR="009B32D4" w:rsidRPr="00CE4252" w:rsidRDefault="009B32D4" w:rsidP="009B32D4">
          <w:pPr>
            <w:pStyle w:val="Footer"/>
            <w:jc w:val="center"/>
            <w:rPr>
              <w:rFonts w:ascii="Arial" w:hAnsi="Arial" w:cs="Arial"/>
              <w:sz w:val="18"/>
              <w:szCs w:val="18"/>
            </w:rPr>
          </w:pPr>
          <w:r w:rsidRPr="00CE4252">
            <w:rPr>
              <w:rFonts w:ascii="Arial" w:hAnsi="Arial" w:cs="Arial"/>
              <w:sz w:val="18"/>
              <w:szCs w:val="18"/>
            </w:rPr>
            <w:t>Review Date</w:t>
          </w:r>
        </w:p>
      </w:tc>
      <w:tc>
        <w:tcPr>
          <w:tcW w:w="1478" w:type="dxa"/>
        </w:tcPr>
        <w:p w:rsidR="009B32D4" w:rsidRDefault="009B32D4" w:rsidP="009B32D4">
          <w:pPr>
            <w:pStyle w:val="Footer"/>
            <w:jc w:val="center"/>
            <w:rPr>
              <w:rFonts w:ascii="Arial" w:hAnsi="Arial" w:cs="Arial"/>
              <w:sz w:val="18"/>
              <w:szCs w:val="18"/>
            </w:rPr>
          </w:pPr>
          <w:r>
            <w:rPr>
              <w:rFonts w:ascii="Arial" w:hAnsi="Arial" w:cs="Arial"/>
              <w:sz w:val="18"/>
              <w:szCs w:val="18"/>
            </w:rPr>
            <w:t>Page Number</w:t>
          </w:r>
        </w:p>
      </w:tc>
      <w:tc>
        <w:tcPr>
          <w:tcW w:w="1478" w:type="dxa"/>
        </w:tcPr>
        <w:p w:rsidR="009B32D4" w:rsidRDefault="009B32D4" w:rsidP="009B32D4">
          <w:pPr>
            <w:pStyle w:val="Footer"/>
            <w:jc w:val="center"/>
            <w:rPr>
              <w:rFonts w:ascii="Arial" w:hAnsi="Arial" w:cs="Arial"/>
              <w:sz w:val="18"/>
              <w:szCs w:val="18"/>
            </w:rPr>
          </w:pPr>
          <w:r>
            <w:rPr>
              <w:rFonts w:ascii="Arial" w:hAnsi="Arial" w:cs="Arial"/>
              <w:sz w:val="18"/>
              <w:szCs w:val="18"/>
            </w:rPr>
            <w:t xml:space="preserve">Date </w:t>
          </w:r>
        </w:p>
        <w:p w:rsidR="009B32D4" w:rsidRPr="00CE4252" w:rsidRDefault="009B32D4" w:rsidP="009B32D4">
          <w:pPr>
            <w:pStyle w:val="Footer"/>
            <w:jc w:val="center"/>
            <w:rPr>
              <w:rFonts w:ascii="Arial" w:hAnsi="Arial" w:cs="Arial"/>
              <w:sz w:val="18"/>
              <w:szCs w:val="18"/>
            </w:rPr>
          </w:pPr>
          <w:r>
            <w:rPr>
              <w:rFonts w:ascii="Arial" w:hAnsi="Arial" w:cs="Arial"/>
              <w:sz w:val="18"/>
              <w:szCs w:val="18"/>
            </w:rPr>
            <w:t>Printed</w:t>
          </w:r>
        </w:p>
      </w:tc>
    </w:tr>
    <w:tr w:rsidR="009B32D4" w:rsidRPr="00CE4252" w:rsidTr="00E578AB">
      <w:tc>
        <w:tcPr>
          <w:tcW w:w="1477" w:type="dxa"/>
        </w:tcPr>
        <w:p w:rsidR="009B32D4" w:rsidRPr="00CE4252" w:rsidRDefault="009B32D4" w:rsidP="009B32D4">
          <w:pPr>
            <w:pStyle w:val="Footer"/>
            <w:jc w:val="center"/>
            <w:rPr>
              <w:rFonts w:ascii="Arial" w:hAnsi="Arial" w:cs="Arial"/>
              <w:sz w:val="18"/>
              <w:szCs w:val="18"/>
            </w:rPr>
          </w:pPr>
          <w:r>
            <w:rPr>
              <w:rFonts w:ascii="Arial" w:hAnsi="Arial" w:cs="Arial"/>
              <w:sz w:val="18"/>
              <w:szCs w:val="18"/>
            </w:rPr>
            <w:t>WHS G008</w:t>
          </w:r>
        </w:p>
      </w:tc>
      <w:tc>
        <w:tcPr>
          <w:tcW w:w="1478" w:type="dxa"/>
        </w:tcPr>
        <w:p w:rsidR="009B32D4" w:rsidRDefault="009B32D4" w:rsidP="009B32D4">
          <w:pPr>
            <w:pStyle w:val="Footer"/>
            <w:jc w:val="center"/>
            <w:rPr>
              <w:rFonts w:ascii="Arial" w:hAnsi="Arial" w:cs="Arial"/>
              <w:sz w:val="18"/>
              <w:szCs w:val="18"/>
            </w:rPr>
          </w:pPr>
          <w:r>
            <w:rPr>
              <w:rFonts w:ascii="Arial" w:hAnsi="Arial" w:cs="Arial"/>
              <w:sz w:val="18"/>
              <w:szCs w:val="18"/>
            </w:rPr>
            <w:t>n/a</w:t>
          </w:r>
        </w:p>
      </w:tc>
      <w:tc>
        <w:tcPr>
          <w:tcW w:w="1477" w:type="dxa"/>
        </w:tcPr>
        <w:p w:rsidR="009B32D4" w:rsidRPr="00CE4252" w:rsidRDefault="009B32D4" w:rsidP="009B32D4">
          <w:pPr>
            <w:pStyle w:val="Footer"/>
            <w:jc w:val="center"/>
            <w:rPr>
              <w:rFonts w:ascii="Arial" w:hAnsi="Arial" w:cs="Arial"/>
              <w:sz w:val="18"/>
              <w:szCs w:val="18"/>
            </w:rPr>
          </w:pPr>
          <w:r>
            <w:rPr>
              <w:rFonts w:ascii="Arial" w:hAnsi="Arial" w:cs="Arial"/>
              <w:sz w:val="18"/>
              <w:szCs w:val="18"/>
            </w:rPr>
            <w:t>1.0</w:t>
          </w:r>
        </w:p>
      </w:tc>
      <w:tc>
        <w:tcPr>
          <w:tcW w:w="1478" w:type="dxa"/>
        </w:tcPr>
        <w:p w:rsidR="009B32D4" w:rsidRPr="00CE4252" w:rsidRDefault="00682EBE" w:rsidP="009B32D4">
          <w:pPr>
            <w:pStyle w:val="Footer"/>
            <w:jc w:val="center"/>
            <w:rPr>
              <w:rFonts w:ascii="Arial" w:hAnsi="Arial" w:cs="Arial"/>
              <w:sz w:val="18"/>
              <w:szCs w:val="18"/>
            </w:rPr>
          </w:pPr>
          <w:r>
            <w:rPr>
              <w:rFonts w:ascii="Arial" w:hAnsi="Arial" w:cs="Arial"/>
              <w:sz w:val="18"/>
              <w:szCs w:val="18"/>
            </w:rPr>
            <w:t>16/2/2017</w:t>
          </w:r>
        </w:p>
      </w:tc>
      <w:tc>
        <w:tcPr>
          <w:tcW w:w="1477" w:type="dxa"/>
        </w:tcPr>
        <w:p w:rsidR="009B32D4" w:rsidRPr="00CE4252" w:rsidRDefault="00682EBE" w:rsidP="009B32D4">
          <w:pPr>
            <w:pStyle w:val="Footer"/>
            <w:jc w:val="center"/>
            <w:rPr>
              <w:rFonts w:ascii="Arial" w:hAnsi="Arial" w:cs="Arial"/>
              <w:sz w:val="18"/>
              <w:szCs w:val="18"/>
            </w:rPr>
          </w:pPr>
          <w:r>
            <w:rPr>
              <w:rFonts w:ascii="Arial" w:hAnsi="Arial" w:cs="Arial"/>
              <w:sz w:val="18"/>
              <w:szCs w:val="18"/>
            </w:rPr>
            <w:t>16/2/2020</w:t>
          </w:r>
        </w:p>
      </w:tc>
      <w:tc>
        <w:tcPr>
          <w:tcW w:w="1478" w:type="dxa"/>
        </w:tcPr>
        <w:p w:rsidR="009B32D4" w:rsidRPr="00CE4252" w:rsidRDefault="009B32D4" w:rsidP="009B32D4">
          <w:pPr>
            <w:pStyle w:val="Footer"/>
            <w:jc w:val="center"/>
            <w:rPr>
              <w:rFonts w:ascii="Arial" w:hAnsi="Arial" w:cs="Arial"/>
              <w:sz w:val="18"/>
              <w:szCs w:val="18"/>
            </w:rPr>
          </w:pPr>
          <w:r w:rsidRPr="002D2BBD">
            <w:rPr>
              <w:rFonts w:ascii="Arial" w:hAnsi="Arial" w:cs="Arial"/>
              <w:sz w:val="18"/>
              <w:szCs w:val="18"/>
            </w:rPr>
            <w:fldChar w:fldCharType="begin"/>
          </w:r>
          <w:r w:rsidRPr="002D2BBD">
            <w:rPr>
              <w:rFonts w:ascii="Arial" w:hAnsi="Arial" w:cs="Arial"/>
              <w:sz w:val="18"/>
              <w:szCs w:val="18"/>
            </w:rPr>
            <w:instrText xml:space="preserve"> PAGE   \* MERGEFORMAT </w:instrText>
          </w:r>
          <w:r w:rsidRPr="002D2BBD">
            <w:rPr>
              <w:rFonts w:ascii="Arial" w:hAnsi="Arial" w:cs="Arial"/>
              <w:sz w:val="18"/>
              <w:szCs w:val="18"/>
            </w:rPr>
            <w:fldChar w:fldCharType="separate"/>
          </w:r>
          <w:r w:rsidR="00BC5648" w:rsidRPr="00BC5648">
            <w:rPr>
              <w:rFonts w:ascii="Arial" w:hAnsi="Arial" w:cs="Arial"/>
              <w:noProof/>
            </w:rPr>
            <w:t>2</w:t>
          </w:r>
          <w:r w:rsidRPr="002D2BBD">
            <w:rPr>
              <w:rFonts w:ascii="Arial" w:hAnsi="Arial" w:cs="Arial"/>
              <w:noProof/>
              <w:sz w:val="18"/>
              <w:szCs w:val="18"/>
            </w:rPr>
            <w:fldChar w:fldCharType="end"/>
          </w:r>
        </w:p>
      </w:tc>
      <w:tc>
        <w:tcPr>
          <w:tcW w:w="1478" w:type="dxa"/>
        </w:tcPr>
        <w:p w:rsidR="009B32D4" w:rsidRPr="00CE4252" w:rsidRDefault="009B32D4" w:rsidP="009B32D4">
          <w:pPr>
            <w:pStyle w:val="Footer"/>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DATE \@ "d/MM/yyyy" </w:instrText>
          </w:r>
          <w:r>
            <w:rPr>
              <w:rFonts w:ascii="Arial" w:hAnsi="Arial" w:cs="Arial"/>
              <w:sz w:val="18"/>
              <w:szCs w:val="18"/>
            </w:rPr>
            <w:fldChar w:fldCharType="separate"/>
          </w:r>
          <w:r w:rsidR="00682EBE">
            <w:rPr>
              <w:rFonts w:ascii="Arial" w:hAnsi="Arial" w:cs="Arial"/>
              <w:noProof/>
              <w:sz w:val="18"/>
              <w:szCs w:val="18"/>
            </w:rPr>
            <w:t>27/02/2017</w:t>
          </w:r>
          <w:r>
            <w:rPr>
              <w:rFonts w:ascii="Arial" w:hAnsi="Arial" w:cs="Arial"/>
              <w:sz w:val="18"/>
              <w:szCs w:val="18"/>
            </w:rPr>
            <w:fldChar w:fldCharType="end"/>
          </w:r>
        </w:p>
      </w:tc>
    </w:tr>
  </w:tbl>
  <w:p w:rsidR="009B32D4" w:rsidRDefault="009B32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CAC" w:rsidRDefault="00036CAC" w:rsidP="00036CAC">
      <w:pPr>
        <w:spacing w:after="0" w:line="240" w:lineRule="auto"/>
      </w:pPr>
      <w:r>
        <w:separator/>
      </w:r>
    </w:p>
  </w:footnote>
  <w:footnote w:type="continuationSeparator" w:id="0">
    <w:p w:rsidR="00036CAC" w:rsidRDefault="00036CAC" w:rsidP="00036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CAC" w:rsidRDefault="00036CAC">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6"/>
      <w:gridCol w:w="7054"/>
    </w:tblGrid>
    <w:tr w:rsidR="009B32D4" w:rsidRPr="00602490" w:rsidTr="00E578AB">
      <w:trPr>
        <w:trHeight w:val="1208"/>
      </w:trPr>
      <w:tc>
        <w:tcPr>
          <w:tcW w:w="2416" w:type="dxa"/>
        </w:tcPr>
        <w:p w:rsidR="009B32D4" w:rsidRPr="00A74542" w:rsidRDefault="009B32D4" w:rsidP="009B32D4">
          <w:pPr>
            <w:pStyle w:val="Header"/>
            <w:rPr>
              <w:rFonts w:ascii="Arial" w:hAnsi="Arial" w:cs="Arial"/>
              <w:sz w:val="24"/>
              <w:szCs w:val="24"/>
            </w:rPr>
          </w:pPr>
          <w:r>
            <w:rPr>
              <w:noProof/>
              <w:lang w:val="en-US"/>
            </w:rPr>
            <w:drawing>
              <wp:inline distT="0" distB="0" distL="0" distR="0" wp14:anchorId="364ACFA9" wp14:editId="6F0D689F">
                <wp:extent cx="914400" cy="914400"/>
                <wp:effectExtent l="19050" t="0" r="0" b="0"/>
                <wp:docPr id="2"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7054" w:type="dxa"/>
        </w:tcPr>
        <w:p w:rsidR="009B32D4" w:rsidRDefault="009B32D4" w:rsidP="009B32D4">
          <w:pPr>
            <w:rPr>
              <w:b/>
              <w:color w:val="FF0000"/>
              <w:sz w:val="48"/>
              <w:szCs w:val="48"/>
            </w:rPr>
          </w:pPr>
          <w:r w:rsidRPr="00602490">
            <w:rPr>
              <w:b/>
              <w:color w:val="FF0000"/>
              <w:sz w:val="48"/>
              <w:szCs w:val="48"/>
            </w:rPr>
            <w:t xml:space="preserve">Emergency Response Plan – </w:t>
          </w:r>
        </w:p>
        <w:p w:rsidR="009B32D4" w:rsidRPr="009B32D4" w:rsidRDefault="009B32D4" w:rsidP="009B32D4">
          <w:pPr>
            <w:rPr>
              <w:b/>
              <w:color w:val="FF0000"/>
              <w:sz w:val="48"/>
              <w:szCs w:val="48"/>
            </w:rPr>
          </w:pPr>
          <w:r>
            <w:rPr>
              <w:b/>
              <w:color w:val="FF0000"/>
              <w:sz w:val="48"/>
              <w:szCs w:val="48"/>
            </w:rPr>
            <w:t>Chemicals and Hazardous Substances</w:t>
          </w:r>
        </w:p>
      </w:tc>
    </w:tr>
  </w:tbl>
  <w:p w:rsidR="00036CAC" w:rsidRPr="00036CAC" w:rsidRDefault="00036CAC" w:rsidP="009B32D4">
    <w:pPr>
      <w:pStyle w:val="Header"/>
      <w:rPr>
        <w:b/>
        <w:color w:val="FF000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2B08"/>
    <w:multiLevelType w:val="multilevel"/>
    <w:tmpl w:val="FF3E90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C346F"/>
    <w:multiLevelType w:val="multilevel"/>
    <w:tmpl w:val="EDDA8B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B80C51"/>
    <w:multiLevelType w:val="hybridMultilevel"/>
    <w:tmpl w:val="9FAAAC1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8F551FB"/>
    <w:multiLevelType w:val="hybridMultilevel"/>
    <w:tmpl w:val="AE7A0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EE1C4C"/>
    <w:multiLevelType w:val="multilevel"/>
    <w:tmpl w:val="89843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5C7837"/>
    <w:multiLevelType w:val="multilevel"/>
    <w:tmpl w:val="EDDA8B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3B396E"/>
    <w:multiLevelType w:val="hybridMultilevel"/>
    <w:tmpl w:val="FDC8845A"/>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7" w15:restartNumberingAfterBreak="0">
    <w:nsid w:val="20CF63AB"/>
    <w:multiLevelType w:val="multilevel"/>
    <w:tmpl w:val="EDDA8B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DD7D4E"/>
    <w:multiLevelType w:val="multilevel"/>
    <w:tmpl w:val="F2F2F6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834A1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1358AA"/>
    <w:multiLevelType w:val="hybridMultilevel"/>
    <w:tmpl w:val="67385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D357ED"/>
    <w:multiLevelType w:val="multilevel"/>
    <w:tmpl w:val="EDDA8B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546D8A"/>
    <w:multiLevelType w:val="hybridMultilevel"/>
    <w:tmpl w:val="10D2B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F03E68"/>
    <w:multiLevelType w:val="hybridMultilevel"/>
    <w:tmpl w:val="A4BC5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63305C"/>
    <w:multiLevelType w:val="multilevel"/>
    <w:tmpl w:val="EDDA8B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9674B6"/>
    <w:multiLevelType w:val="multilevel"/>
    <w:tmpl w:val="EDDA8B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8E1EA2"/>
    <w:multiLevelType w:val="multilevel"/>
    <w:tmpl w:val="EDDA8B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426BE9"/>
    <w:multiLevelType w:val="hybridMultilevel"/>
    <w:tmpl w:val="4F4C8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4360B2"/>
    <w:multiLevelType w:val="hybridMultilevel"/>
    <w:tmpl w:val="27C89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7400BB"/>
    <w:multiLevelType w:val="multilevel"/>
    <w:tmpl w:val="EDDA8B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8034C1"/>
    <w:multiLevelType w:val="multilevel"/>
    <w:tmpl w:val="EDDA8B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795AD4"/>
    <w:multiLevelType w:val="hybridMultilevel"/>
    <w:tmpl w:val="A07ACEB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770437A6"/>
    <w:multiLevelType w:val="multilevel"/>
    <w:tmpl w:val="EDDA8B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D02386"/>
    <w:multiLevelType w:val="hybridMultilevel"/>
    <w:tmpl w:val="FB6021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B53683B"/>
    <w:multiLevelType w:val="hybridMultilevel"/>
    <w:tmpl w:val="FD044A4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3"/>
  </w:num>
  <w:num w:numId="2">
    <w:abstractNumId w:val="9"/>
  </w:num>
  <w:num w:numId="3">
    <w:abstractNumId w:val="6"/>
  </w:num>
  <w:num w:numId="4">
    <w:abstractNumId w:val="24"/>
  </w:num>
  <w:num w:numId="5">
    <w:abstractNumId w:val="21"/>
  </w:num>
  <w:num w:numId="6">
    <w:abstractNumId w:val="13"/>
  </w:num>
  <w:num w:numId="7">
    <w:abstractNumId w:val="12"/>
  </w:num>
  <w:num w:numId="8">
    <w:abstractNumId w:val="3"/>
  </w:num>
  <w:num w:numId="9">
    <w:abstractNumId w:val="17"/>
  </w:num>
  <w:num w:numId="10">
    <w:abstractNumId w:val="10"/>
  </w:num>
  <w:num w:numId="11">
    <w:abstractNumId w:val="18"/>
  </w:num>
  <w:num w:numId="12">
    <w:abstractNumId w:val="2"/>
  </w:num>
  <w:num w:numId="13">
    <w:abstractNumId w:val="4"/>
  </w:num>
  <w:num w:numId="14">
    <w:abstractNumId w:val="0"/>
  </w:num>
  <w:num w:numId="15">
    <w:abstractNumId w:val="8"/>
  </w:num>
  <w:num w:numId="16">
    <w:abstractNumId w:val="20"/>
  </w:num>
  <w:num w:numId="17">
    <w:abstractNumId w:val="15"/>
  </w:num>
  <w:num w:numId="18">
    <w:abstractNumId w:val="16"/>
  </w:num>
  <w:num w:numId="19">
    <w:abstractNumId w:val="5"/>
  </w:num>
  <w:num w:numId="20">
    <w:abstractNumId w:val="7"/>
  </w:num>
  <w:num w:numId="21">
    <w:abstractNumId w:val="22"/>
  </w:num>
  <w:num w:numId="22">
    <w:abstractNumId w:val="19"/>
  </w:num>
  <w:num w:numId="23">
    <w:abstractNumId w:val="11"/>
  </w:num>
  <w:num w:numId="24">
    <w:abstractNumId w:val="1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uk9q4uLZ4QaZtqfw3z0rby4Kz+AbMxJIUuCmOdV0fDeXTx6ZS3eGLH6Wh99bKeJuZy9Unm70OXG0KcxHuw5tkw==" w:salt="JpHScQG1c8fX1+H9OuPoq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AC"/>
    <w:rsid w:val="00014DC1"/>
    <w:rsid w:val="0002112D"/>
    <w:rsid w:val="00026154"/>
    <w:rsid w:val="00036CAC"/>
    <w:rsid w:val="00075028"/>
    <w:rsid w:val="000A6A19"/>
    <w:rsid w:val="000B12E0"/>
    <w:rsid w:val="000D5BB2"/>
    <w:rsid w:val="000E0900"/>
    <w:rsid w:val="00102CE6"/>
    <w:rsid w:val="0012418C"/>
    <w:rsid w:val="00136F09"/>
    <w:rsid w:val="0019526B"/>
    <w:rsid w:val="001C52E0"/>
    <w:rsid w:val="001D7391"/>
    <w:rsid w:val="001F71BE"/>
    <w:rsid w:val="002475B8"/>
    <w:rsid w:val="002601B2"/>
    <w:rsid w:val="002745A9"/>
    <w:rsid w:val="00280D24"/>
    <w:rsid w:val="002A53CD"/>
    <w:rsid w:val="002F116C"/>
    <w:rsid w:val="00340EF3"/>
    <w:rsid w:val="00363BF1"/>
    <w:rsid w:val="003B7D99"/>
    <w:rsid w:val="003C3622"/>
    <w:rsid w:val="003E48E0"/>
    <w:rsid w:val="003F004D"/>
    <w:rsid w:val="003F5944"/>
    <w:rsid w:val="00417268"/>
    <w:rsid w:val="00516916"/>
    <w:rsid w:val="0056023C"/>
    <w:rsid w:val="0057434F"/>
    <w:rsid w:val="005E6467"/>
    <w:rsid w:val="005F6792"/>
    <w:rsid w:val="00605FEB"/>
    <w:rsid w:val="00611B5D"/>
    <w:rsid w:val="00615960"/>
    <w:rsid w:val="00667047"/>
    <w:rsid w:val="00682EBE"/>
    <w:rsid w:val="00684056"/>
    <w:rsid w:val="00693C56"/>
    <w:rsid w:val="006A6A14"/>
    <w:rsid w:val="006F28A6"/>
    <w:rsid w:val="006F79A1"/>
    <w:rsid w:val="00703834"/>
    <w:rsid w:val="0070725B"/>
    <w:rsid w:val="007B5398"/>
    <w:rsid w:val="007F1360"/>
    <w:rsid w:val="007F2389"/>
    <w:rsid w:val="00835B1F"/>
    <w:rsid w:val="00882C89"/>
    <w:rsid w:val="008847A4"/>
    <w:rsid w:val="009478D1"/>
    <w:rsid w:val="00990091"/>
    <w:rsid w:val="009B32D4"/>
    <w:rsid w:val="009C0E9F"/>
    <w:rsid w:val="009C3A75"/>
    <w:rsid w:val="009D499A"/>
    <w:rsid w:val="00A37A37"/>
    <w:rsid w:val="00A57AA5"/>
    <w:rsid w:val="00AB4026"/>
    <w:rsid w:val="00AE1027"/>
    <w:rsid w:val="00B37C83"/>
    <w:rsid w:val="00B4200F"/>
    <w:rsid w:val="00B53982"/>
    <w:rsid w:val="00B66F5C"/>
    <w:rsid w:val="00B84E93"/>
    <w:rsid w:val="00BB3EE9"/>
    <w:rsid w:val="00BC5648"/>
    <w:rsid w:val="00BD5F29"/>
    <w:rsid w:val="00CC1265"/>
    <w:rsid w:val="00D24A63"/>
    <w:rsid w:val="00D773C1"/>
    <w:rsid w:val="00D94519"/>
    <w:rsid w:val="00DF1C00"/>
    <w:rsid w:val="00E05AB3"/>
    <w:rsid w:val="00E26BDA"/>
    <w:rsid w:val="00E275D2"/>
    <w:rsid w:val="00E34E07"/>
    <w:rsid w:val="00E4510F"/>
    <w:rsid w:val="00E75828"/>
    <w:rsid w:val="00E95523"/>
    <w:rsid w:val="00E97C41"/>
    <w:rsid w:val="00EC21A5"/>
    <w:rsid w:val="00ED0475"/>
    <w:rsid w:val="00EE1539"/>
    <w:rsid w:val="00EE6428"/>
    <w:rsid w:val="00F10364"/>
    <w:rsid w:val="00F1626A"/>
    <w:rsid w:val="00F550C2"/>
    <w:rsid w:val="00F66E51"/>
    <w:rsid w:val="00F747DD"/>
    <w:rsid w:val="00F76574"/>
    <w:rsid w:val="00F82F7C"/>
    <w:rsid w:val="00FC4F77"/>
    <w:rsid w:val="00FF78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E0F8D83-67CC-4C73-B093-60DFC8BE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5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CAC"/>
  </w:style>
  <w:style w:type="paragraph" w:styleId="Footer">
    <w:name w:val="footer"/>
    <w:basedOn w:val="Normal"/>
    <w:link w:val="FooterChar"/>
    <w:uiPriority w:val="99"/>
    <w:unhideWhenUsed/>
    <w:rsid w:val="00036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CAC"/>
  </w:style>
  <w:style w:type="paragraph" w:styleId="ListParagraph">
    <w:name w:val="List Paragraph"/>
    <w:basedOn w:val="Normal"/>
    <w:uiPriority w:val="34"/>
    <w:qFormat/>
    <w:rsid w:val="00036CAC"/>
    <w:pPr>
      <w:ind w:left="720"/>
      <w:contextualSpacing/>
    </w:pPr>
  </w:style>
  <w:style w:type="character" w:styleId="Hyperlink">
    <w:name w:val="Hyperlink"/>
    <w:basedOn w:val="DefaultParagraphFont"/>
    <w:uiPriority w:val="99"/>
    <w:unhideWhenUsed/>
    <w:rsid w:val="00417268"/>
    <w:rPr>
      <w:color w:val="0563C1" w:themeColor="hyperlink"/>
      <w:u w:val="single"/>
    </w:rPr>
  </w:style>
  <w:style w:type="paragraph" w:styleId="BalloonText">
    <w:name w:val="Balloon Text"/>
    <w:basedOn w:val="Normal"/>
    <w:link w:val="BalloonTextChar"/>
    <w:uiPriority w:val="99"/>
    <w:semiHidden/>
    <w:unhideWhenUsed/>
    <w:rsid w:val="00703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834"/>
    <w:rPr>
      <w:rFonts w:ascii="Segoe UI" w:hAnsi="Segoe UI" w:cs="Segoe UI"/>
      <w:sz w:val="18"/>
      <w:szCs w:val="18"/>
    </w:rPr>
  </w:style>
  <w:style w:type="table" w:styleId="TableGrid">
    <w:name w:val="Table Grid"/>
    <w:basedOn w:val="TableNormal"/>
    <w:uiPriority w:val="39"/>
    <w:rsid w:val="00611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A4A61-F86F-47C1-9B0C-7D263F152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635</Words>
  <Characters>3621</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New England</Company>
  <LinksUpToDate>false</LinksUpToDate>
  <CharactersWithSpaces>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Theron King</dc:creator>
  <cp:keywords/>
  <dc:description/>
  <cp:lastModifiedBy>Jodi McAlary</cp:lastModifiedBy>
  <cp:revision>9</cp:revision>
  <cp:lastPrinted>2016-11-24T23:10:00Z</cp:lastPrinted>
  <dcterms:created xsi:type="dcterms:W3CDTF">2017-02-14T21:33:00Z</dcterms:created>
  <dcterms:modified xsi:type="dcterms:W3CDTF">2017-02-27T00:26:00Z</dcterms:modified>
</cp:coreProperties>
</file>