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AC" w:rsidRPr="00DE4DFE" w:rsidRDefault="00036CAC" w:rsidP="00DE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360" w:lineRule="auto"/>
        <w:ind w:left="113" w:right="340"/>
        <w:jc w:val="both"/>
      </w:pPr>
      <w:r w:rsidRPr="00DE4DFE">
        <w:t xml:space="preserve">This plan is enacted when </w:t>
      </w:r>
      <w:r w:rsidR="00F22D03">
        <w:t xml:space="preserve">a </w:t>
      </w:r>
      <w:r w:rsidR="006E6EAB">
        <w:rPr>
          <w:b/>
          <w:color w:val="FF0000"/>
        </w:rPr>
        <w:t>BOMB/EXPLOSION</w:t>
      </w:r>
      <w:r w:rsidR="00F66E51" w:rsidRPr="00DE4DFE">
        <w:rPr>
          <w:b/>
          <w:color w:val="FF0000"/>
        </w:rPr>
        <w:t xml:space="preserve"> SITUATION</w:t>
      </w:r>
      <w:r w:rsidRPr="00DE4DFE">
        <w:rPr>
          <w:color w:val="FF0000"/>
        </w:rPr>
        <w:t xml:space="preserve"> </w:t>
      </w:r>
      <w:r w:rsidRPr="00DE4DFE">
        <w:t>is declared</w:t>
      </w:r>
      <w:r w:rsidR="00F22D03">
        <w:t>,</w:t>
      </w:r>
      <w:r w:rsidRPr="00DE4DFE">
        <w:t xml:space="preserve"> and the level of risk to personal safety, property or environment is an immediate risk to escalate.</w:t>
      </w:r>
      <w:r w:rsidR="00102CE6" w:rsidRPr="00DE4DFE">
        <w:t xml:space="preserve">  This plan</w:t>
      </w:r>
      <w:r w:rsidR="002A53CD" w:rsidRPr="00DE4DFE">
        <w:t xml:space="preserve"> relates to the response of</w:t>
      </w:r>
      <w:r w:rsidR="00102CE6" w:rsidRPr="00DE4DFE">
        <w:t xml:space="preserve"> </w:t>
      </w:r>
      <w:r w:rsidR="002076DA">
        <w:t>staff and students</w:t>
      </w:r>
      <w:r w:rsidR="00102CE6" w:rsidRPr="00DE4DFE">
        <w:t xml:space="preserve"> to a critical incident and</w:t>
      </w:r>
      <w:r w:rsidR="00F66E51" w:rsidRPr="00DE4DFE">
        <w:t xml:space="preserve"> supports the Emergency Management Plan (EM</w:t>
      </w:r>
      <w:r w:rsidR="00102CE6" w:rsidRPr="00DE4DFE">
        <w:t>P) that exists for the individual buildings.</w:t>
      </w:r>
      <w:r w:rsidR="00667047" w:rsidRPr="00DE4DFE">
        <w:t xml:space="preserve">  </w:t>
      </w:r>
    </w:p>
    <w:p w:rsidR="00DE4DFE" w:rsidRDefault="00DE4DFE" w:rsidP="00DE4DFE">
      <w:pPr>
        <w:spacing w:line="360" w:lineRule="auto"/>
        <w:ind w:left="113" w:right="340"/>
        <w:jc w:val="both"/>
        <w:rPr>
          <w:b/>
          <w:sz w:val="28"/>
        </w:rPr>
      </w:pPr>
    </w:p>
    <w:p w:rsidR="00036CAC" w:rsidRPr="00DE4DFE" w:rsidRDefault="00036CAC" w:rsidP="00DE4DFE">
      <w:pPr>
        <w:spacing w:line="360" w:lineRule="auto"/>
        <w:ind w:left="113" w:right="340"/>
        <w:jc w:val="both"/>
        <w:rPr>
          <w:b/>
          <w:sz w:val="28"/>
        </w:rPr>
      </w:pPr>
      <w:r w:rsidRPr="00DE4DFE">
        <w:rPr>
          <w:b/>
          <w:sz w:val="28"/>
        </w:rPr>
        <w:t>Imm</w:t>
      </w:r>
      <w:bookmarkStart w:id="0" w:name="_GoBack"/>
      <w:bookmarkEnd w:id="0"/>
      <w:r w:rsidRPr="00DE4DFE">
        <w:rPr>
          <w:b/>
          <w:sz w:val="28"/>
        </w:rPr>
        <w:t>ediate Actions:</w:t>
      </w:r>
    </w:p>
    <w:p w:rsidR="00516916" w:rsidRPr="00DE4DFE" w:rsidRDefault="00684056" w:rsidP="00DE4DFE">
      <w:pPr>
        <w:pStyle w:val="ListParagraph"/>
        <w:numPr>
          <w:ilvl w:val="0"/>
          <w:numId w:val="2"/>
        </w:numPr>
        <w:spacing w:line="360" w:lineRule="auto"/>
        <w:ind w:left="113" w:right="340"/>
        <w:jc w:val="both"/>
        <w:rPr>
          <w:b/>
          <w:sz w:val="28"/>
          <w:u w:val="single"/>
        </w:rPr>
      </w:pPr>
      <w:r w:rsidRPr="00DE4DFE">
        <w:rPr>
          <w:b/>
          <w:sz w:val="28"/>
          <w:u w:val="single"/>
        </w:rPr>
        <w:t>UNE Staff/Students</w:t>
      </w:r>
    </w:p>
    <w:p w:rsidR="003B7D99" w:rsidRPr="00DE4DFE" w:rsidRDefault="005B4CA4" w:rsidP="00DE4DFE">
      <w:pPr>
        <w:spacing w:line="360" w:lineRule="auto"/>
        <w:ind w:left="113" w:right="340"/>
        <w:jc w:val="both"/>
        <w:rPr>
          <w:rFonts w:ascii="Arial" w:hAnsi="Arial" w:cs="Arial"/>
          <w:color w:val="C00000"/>
          <w:sz w:val="24"/>
        </w:rPr>
      </w:pPr>
      <w:r w:rsidRPr="00DE4DFE">
        <w:rPr>
          <w:rFonts w:ascii="Arial" w:hAnsi="Arial" w:cs="Arial"/>
          <w:color w:val="C00000"/>
          <w:sz w:val="24"/>
        </w:rPr>
        <w:t>If you receive a bomb threat - stay composed</w:t>
      </w:r>
    </w:p>
    <w:p w:rsidR="005B4CA4" w:rsidRPr="00DE4DFE" w:rsidRDefault="005B4CA4" w:rsidP="00DE4DFE">
      <w:pPr>
        <w:pStyle w:val="ListParagraph"/>
        <w:numPr>
          <w:ilvl w:val="0"/>
          <w:numId w:val="24"/>
        </w:numPr>
        <w:spacing w:line="360" w:lineRule="auto"/>
        <w:ind w:left="473" w:right="340"/>
        <w:jc w:val="both"/>
      </w:pPr>
      <w:r w:rsidRPr="00DE4DFE">
        <w:t>If you have caller ID, write down the number displayed</w:t>
      </w:r>
    </w:p>
    <w:p w:rsidR="005B4CA4" w:rsidRPr="00DE4DFE" w:rsidRDefault="005B4CA4" w:rsidP="00DE4DFE">
      <w:pPr>
        <w:pStyle w:val="ListParagraph"/>
        <w:numPr>
          <w:ilvl w:val="0"/>
          <w:numId w:val="24"/>
        </w:numPr>
        <w:spacing w:line="360" w:lineRule="auto"/>
        <w:ind w:left="473" w:right="340"/>
        <w:jc w:val="both"/>
      </w:pPr>
      <w:r w:rsidRPr="00DE4DFE">
        <w:t>Are they male or female?</w:t>
      </w:r>
    </w:p>
    <w:p w:rsidR="005B4CA4" w:rsidRPr="00DE4DFE" w:rsidRDefault="005B4CA4" w:rsidP="00DE4DFE">
      <w:pPr>
        <w:pStyle w:val="ListParagraph"/>
        <w:numPr>
          <w:ilvl w:val="0"/>
          <w:numId w:val="24"/>
        </w:numPr>
        <w:spacing w:line="360" w:lineRule="auto"/>
        <w:ind w:left="473" w:right="340"/>
        <w:jc w:val="both"/>
      </w:pPr>
      <w:r w:rsidRPr="00DE4DFE">
        <w:t>Approximate age?</w:t>
      </w:r>
    </w:p>
    <w:p w:rsidR="005B4CA4" w:rsidRPr="00DE4DFE" w:rsidRDefault="005B4CA4" w:rsidP="00DE4DFE">
      <w:pPr>
        <w:pStyle w:val="ListParagraph"/>
        <w:numPr>
          <w:ilvl w:val="0"/>
          <w:numId w:val="24"/>
        </w:numPr>
        <w:spacing w:line="360" w:lineRule="auto"/>
        <w:ind w:left="473" w:right="340"/>
        <w:jc w:val="both"/>
      </w:pPr>
      <w:r w:rsidRPr="00DE4DFE">
        <w:t>Accent present?</w:t>
      </w:r>
    </w:p>
    <w:p w:rsidR="005B4CA4" w:rsidRPr="00DE4DFE" w:rsidRDefault="005B4CA4" w:rsidP="00DE4DFE">
      <w:pPr>
        <w:pStyle w:val="ListParagraph"/>
        <w:numPr>
          <w:ilvl w:val="0"/>
          <w:numId w:val="24"/>
        </w:numPr>
        <w:spacing w:line="360" w:lineRule="auto"/>
        <w:ind w:left="473" w:right="340"/>
        <w:jc w:val="both"/>
      </w:pPr>
      <w:r w:rsidRPr="00DE4DFE">
        <w:t>Get the attention of someone nearby and tell them to call ‘000’ then Safety and Security on 6773 2099 immediately.</w:t>
      </w:r>
    </w:p>
    <w:p w:rsidR="005B4CA4" w:rsidRPr="00DE4DFE" w:rsidRDefault="005B4CA4" w:rsidP="00DE4DFE">
      <w:pPr>
        <w:pStyle w:val="ListParagraph"/>
        <w:numPr>
          <w:ilvl w:val="0"/>
          <w:numId w:val="24"/>
        </w:numPr>
        <w:spacing w:line="360" w:lineRule="auto"/>
        <w:ind w:left="473" w:right="340"/>
        <w:jc w:val="both"/>
      </w:pPr>
      <w:r w:rsidRPr="00DE4DFE">
        <w:t>Keep the caller on the phone by asking the following questions:</w:t>
      </w:r>
    </w:p>
    <w:p w:rsidR="005B4CA4" w:rsidRPr="00DE4DFE" w:rsidRDefault="005B4CA4" w:rsidP="00DE4DFE">
      <w:pPr>
        <w:pStyle w:val="ListParagraph"/>
        <w:numPr>
          <w:ilvl w:val="2"/>
          <w:numId w:val="13"/>
        </w:numPr>
        <w:spacing w:line="360" w:lineRule="auto"/>
        <w:ind w:right="340"/>
        <w:jc w:val="both"/>
      </w:pPr>
      <w:r w:rsidRPr="00DE4DFE">
        <w:t>When is the bomb going to explode?</w:t>
      </w:r>
    </w:p>
    <w:p w:rsidR="005B4CA4" w:rsidRPr="00DE4DFE" w:rsidRDefault="005B4CA4" w:rsidP="00DE4DFE">
      <w:pPr>
        <w:pStyle w:val="ListParagraph"/>
        <w:numPr>
          <w:ilvl w:val="2"/>
          <w:numId w:val="13"/>
        </w:numPr>
        <w:spacing w:line="360" w:lineRule="auto"/>
        <w:ind w:right="340"/>
        <w:jc w:val="both"/>
      </w:pPr>
      <w:r w:rsidRPr="00DE4DFE">
        <w:t>Where is it right now?</w:t>
      </w:r>
    </w:p>
    <w:p w:rsidR="005B4CA4" w:rsidRPr="00DE4DFE" w:rsidRDefault="005B4CA4" w:rsidP="00DE4DFE">
      <w:pPr>
        <w:pStyle w:val="ListParagraph"/>
        <w:numPr>
          <w:ilvl w:val="2"/>
          <w:numId w:val="13"/>
        </w:numPr>
        <w:spacing w:line="360" w:lineRule="auto"/>
        <w:ind w:right="340"/>
        <w:jc w:val="both"/>
      </w:pPr>
      <w:r w:rsidRPr="00DE4DFE">
        <w:t>What does it look like?</w:t>
      </w:r>
    </w:p>
    <w:p w:rsidR="005B4CA4" w:rsidRPr="00DE4DFE" w:rsidRDefault="005B4CA4" w:rsidP="00DE4DFE">
      <w:pPr>
        <w:pStyle w:val="ListParagraph"/>
        <w:numPr>
          <w:ilvl w:val="2"/>
          <w:numId w:val="13"/>
        </w:numPr>
        <w:spacing w:line="360" w:lineRule="auto"/>
        <w:ind w:right="340"/>
        <w:jc w:val="both"/>
      </w:pPr>
      <w:r w:rsidRPr="00DE4DFE">
        <w:t>What kind of bomb is it?</w:t>
      </w:r>
    </w:p>
    <w:p w:rsidR="005B4CA4" w:rsidRPr="00DE4DFE" w:rsidRDefault="005B4CA4" w:rsidP="00DE4DFE">
      <w:pPr>
        <w:pStyle w:val="ListParagraph"/>
        <w:numPr>
          <w:ilvl w:val="2"/>
          <w:numId w:val="13"/>
        </w:numPr>
        <w:spacing w:line="360" w:lineRule="auto"/>
        <w:ind w:right="340"/>
        <w:jc w:val="both"/>
      </w:pPr>
      <w:r w:rsidRPr="00DE4DFE">
        <w:t>What will cause it to explode?</w:t>
      </w:r>
    </w:p>
    <w:p w:rsidR="005B4CA4" w:rsidRPr="00DE4DFE" w:rsidRDefault="005B4CA4" w:rsidP="00DE4DFE">
      <w:pPr>
        <w:pStyle w:val="ListParagraph"/>
        <w:numPr>
          <w:ilvl w:val="2"/>
          <w:numId w:val="13"/>
        </w:numPr>
        <w:spacing w:line="360" w:lineRule="auto"/>
        <w:ind w:right="340"/>
        <w:jc w:val="both"/>
      </w:pPr>
      <w:r w:rsidRPr="00DE4DFE">
        <w:t>Did you place the bomb?</w:t>
      </w:r>
    </w:p>
    <w:p w:rsidR="005B4CA4" w:rsidRDefault="005B4CA4" w:rsidP="00DE4DFE">
      <w:pPr>
        <w:pStyle w:val="ListParagraph"/>
        <w:numPr>
          <w:ilvl w:val="2"/>
          <w:numId w:val="13"/>
        </w:numPr>
        <w:spacing w:line="360" w:lineRule="auto"/>
        <w:ind w:right="340"/>
        <w:jc w:val="both"/>
      </w:pPr>
      <w:r w:rsidRPr="00DE4DFE">
        <w:t>Who are you?</w:t>
      </w:r>
    </w:p>
    <w:p w:rsidR="00F22D03" w:rsidRDefault="00F22D03" w:rsidP="00F22D03">
      <w:pPr>
        <w:spacing w:line="360" w:lineRule="auto"/>
        <w:ind w:right="340"/>
        <w:jc w:val="both"/>
      </w:pPr>
    </w:p>
    <w:p w:rsidR="00F22D03" w:rsidRDefault="00F22D03" w:rsidP="00F22D03">
      <w:pPr>
        <w:spacing w:line="360" w:lineRule="auto"/>
        <w:ind w:right="340"/>
        <w:jc w:val="both"/>
      </w:pPr>
    </w:p>
    <w:p w:rsidR="00F22D03" w:rsidRDefault="00F22D03" w:rsidP="00F22D03">
      <w:pPr>
        <w:spacing w:line="360" w:lineRule="auto"/>
        <w:ind w:right="340"/>
        <w:jc w:val="both"/>
      </w:pPr>
    </w:p>
    <w:p w:rsidR="00F22D03" w:rsidRDefault="00F22D03" w:rsidP="00F22D03">
      <w:pPr>
        <w:spacing w:line="360" w:lineRule="auto"/>
        <w:ind w:right="340"/>
        <w:jc w:val="both"/>
      </w:pPr>
    </w:p>
    <w:p w:rsidR="00F22D03" w:rsidRDefault="00F22D03" w:rsidP="00F22D03">
      <w:pPr>
        <w:spacing w:line="360" w:lineRule="auto"/>
        <w:ind w:right="340"/>
        <w:jc w:val="both"/>
      </w:pPr>
      <w:r>
        <w:lastRenderedPageBreak/>
        <w:t>The following table lists the characteristics of the phone call should be considered and noted.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2379"/>
        <w:gridCol w:w="1545"/>
        <w:gridCol w:w="1663"/>
        <w:gridCol w:w="2160"/>
      </w:tblGrid>
      <w:tr w:rsidR="00DE4DFE" w:rsidRPr="00DE4DFE" w:rsidTr="009402B0">
        <w:trPr>
          <w:trHeight w:val="20"/>
          <w:tblHeader/>
          <w:jc w:val="center"/>
        </w:trPr>
        <w:tc>
          <w:tcPr>
            <w:tcW w:w="1703" w:type="dxa"/>
            <w:shd w:val="clear" w:color="auto" w:fill="70AD47" w:themeFill="accent6"/>
            <w:vAlign w:val="center"/>
            <w:hideMark/>
          </w:tcPr>
          <w:p w:rsidR="007F1004" w:rsidRPr="00F22D03" w:rsidRDefault="007F1004" w:rsidP="00DE4DFE">
            <w:pPr>
              <w:spacing w:after="300" w:line="360" w:lineRule="auto"/>
              <w:ind w:left="113" w:right="340"/>
              <w:jc w:val="both"/>
              <w:rPr>
                <w:rFonts w:eastAsia="Times New Roman" w:cs="Arial"/>
                <w:b/>
                <w:bCs/>
                <w:lang w:val="en-US"/>
              </w:rPr>
            </w:pPr>
            <w:r w:rsidRPr="00F22D03">
              <w:rPr>
                <w:rFonts w:eastAsia="Times New Roman" w:cs="Arial"/>
                <w:b/>
                <w:bCs/>
                <w:lang w:val="en-US"/>
              </w:rPr>
              <w:t>Voice</w:t>
            </w:r>
          </w:p>
        </w:tc>
        <w:tc>
          <w:tcPr>
            <w:tcW w:w="2379" w:type="dxa"/>
            <w:shd w:val="clear" w:color="auto" w:fill="70AD47" w:themeFill="accent6"/>
            <w:vAlign w:val="center"/>
            <w:hideMark/>
          </w:tcPr>
          <w:p w:rsidR="007F1004" w:rsidRPr="00F22D03" w:rsidRDefault="007F1004" w:rsidP="00DE4DFE">
            <w:pPr>
              <w:spacing w:after="300" w:line="360" w:lineRule="auto"/>
              <w:ind w:left="113" w:right="340"/>
              <w:jc w:val="both"/>
              <w:rPr>
                <w:rFonts w:eastAsia="Times New Roman" w:cs="Arial"/>
                <w:b/>
                <w:bCs/>
                <w:lang w:val="en-US"/>
              </w:rPr>
            </w:pPr>
            <w:r w:rsidRPr="00F22D03">
              <w:rPr>
                <w:rFonts w:eastAsia="Times New Roman" w:cs="Arial"/>
                <w:b/>
                <w:bCs/>
                <w:lang w:val="en-US"/>
              </w:rPr>
              <w:t>Speech</w:t>
            </w:r>
          </w:p>
        </w:tc>
        <w:tc>
          <w:tcPr>
            <w:tcW w:w="1545" w:type="dxa"/>
            <w:shd w:val="clear" w:color="auto" w:fill="70AD47" w:themeFill="accent6"/>
            <w:vAlign w:val="center"/>
            <w:hideMark/>
          </w:tcPr>
          <w:p w:rsidR="007F1004" w:rsidRPr="00F22D03" w:rsidRDefault="007F1004" w:rsidP="00DE4DFE">
            <w:pPr>
              <w:spacing w:after="300" w:line="360" w:lineRule="auto"/>
              <w:ind w:left="113" w:right="340"/>
              <w:jc w:val="both"/>
              <w:rPr>
                <w:rFonts w:eastAsia="Times New Roman" w:cs="Arial"/>
                <w:b/>
                <w:bCs/>
                <w:lang w:val="en-US"/>
              </w:rPr>
            </w:pPr>
            <w:r w:rsidRPr="00F22D03">
              <w:rPr>
                <w:rFonts w:eastAsia="Times New Roman" w:cs="Arial"/>
                <w:b/>
                <w:bCs/>
                <w:lang w:val="en-US"/>
              </w:rPr>
              <w:t>Manner</w:t>
            </w:r>
          </w:p>
        </w:tc>
        <w:tc>
          <w:tcPr>
            <w:tcW w:w="1663" w:type="dxa"/>
            <w:shd w:val="clear" w:color="auto" w:fill="70AD47" w:themeFill="accent6"/>
            <w:vAlign w:val="center"/>
            <w:hideMark/>
          </w:tcPr>
          <w:p w:rsidR="007F1004" w:rsidRPr="00F22D03" w:rsidRDefault="007F1004" w:rsidP="00DE4DFE">
            <w:pPr>
              <w:spacing w:after="300" w:line="360" w:lineRule="auto"/>
              <w:ind w:left="113" w:right="340"/>
              <w:jc w:val="both"/>
              <w:rPr>
                <w:rFonts w:eastAsia="Times New Roman" w:cs="Arial"/>
                <w:b/>
                <w:bCs/>
                <w:lang w:val="en-US"/>
              </w:rPr>
            </w:pPr>
            <w:r w:rsidRPr="00F22D03">
              <w:rPr>
                <w:rFonts w:eastAsia="Times New Roman" w:cs="Arial"/>
                <w:b/>
                <w:bCs/>
                <w:lang w:val="en-US"/>
              </w:rPr>
              <w:t>Telephone</w:t>
            </w:r>
          </w:p>
        </w:tc>
        <w:tc>
          <w:tcPr>
            <w:tcW w:w="2160" w:type="dxa"/>
            <w:shd w:val="clear" w:color="auto" w:fill="70AD47" w:themeFill="accent6"/>
            <w:vAlign w:val="center"/>
            <w:hideMark/>
          </w:tcPr>
          <w:p w:rsidR="007F1004" w:rsidRPr="00F22D03" w:rsidRDefault="007F1004" w:rsidP="00DE4DFE">
            <w:pPr>
              <w:spacing w:after="300" w:line="360" w:lineRule="auto"/>
              <w:ind w:left="113" w:right="340"/>
              <w:jc w:val="both"/>
              <w:rPr>
                <w:rFonts w:eastAsia="Times New Roman" w:cs="Arial"/>
                <w:b/>
                <w:bCs/>
                <w:lang w:val="en-US"/>
              </w:rPr>
            </w:pPr>
            <w:r w:rsidRPr="00F22D03">
              <w:rPr>
                <w:rFonts w:eastAsia="Times New Roman" w:cs="Arial"/>
                <w:b/>
                <w:bCs/>
                <w:lang w:val="en-US"/>
              </w:rPr>
              <w:t>Background</w:t>
            </w:r>
          </w:p>
        </w:tc>
      </w:tr>
      <w:tr w:rsidR="00DE4DFE" w:rsidRPr="00DE4DFE" w:rsidTr="009402B0">
        <w:trPr>
          <w:trHeight w:val="11"/>
          <w:jc w:val="center"/>
        </w:trPr>
        <w:tc>
          <w:tcPr>
            <w:tcW w:w="170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Man</w:t>
            </w:r>
          </w:p>
        </w:tc>
        <w:tc>
          <w:tcPr>
            <w:tcW w:w="2379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fast</w:t>
            </w:r>
          </w:p>
        </w:tc>
        <w:tc>
          <w:tcPr>
            <w:tcW w:w="1545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calm</w:t>
            </w:r>
          </w:p>
        </w:tc>
        <w:tc>
          <w:tcPr>
            <w:tcW w:w="166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local</w:t>
            </w:r>
          </w:p>
        </w:tc>
        <w:tc>
          <w:tcPr>
            <w:tcW w:w="2160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people</w:t>
            </w:r>
          </w:p>
        </w:tc>
      </w:tr>
      <w:tr w:rsidR="00DE4DFE" w:rsidRPr="00DE4DFE" w:rsidTr="009402B0">
        <w:trPr>
          <w:trHeight w:val="22"/>
          <w:jc w:val="center"/>
        </w:trPr>
        <w:tc>
          <w:tcPr>
            <w:tcW w:w="170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Woman</w:t>
            </w:r>
          </w:p>
        </w:tc>
        <w:tc>
          <w:tcPr>
            <w:tcW w:w="2379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slow</w:t>
            </w:r>
          </w:p>
        </w:tc>
        <w:tc>
          <w:tcPr>
            <w:tcW w:w="1545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angry</w:t>
            </w:r>
          </w:p>
        </w:tc>
        <w:tc>
          <w:tcPr>
            <w:tcW w:w="166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proofErr w:type="spellStart"/>
            <w:r w:rsidRPr="00DE4DFE">
              <w:rPr>
                <w:rFonts w:eastAsia="Times New Roman" w:cs="Arial"/>
                <w:color w:val="464646"/>
                <w:lang w:val="en-US"/>
              </w:rPr>
              <w:t>std</w:t>
            </w:r>
            <w:proofErr w:type="spellEnd"/>
          </w:p>
        </w:tc>
        <w:tc>
          <w:tcPr>
            <w:tcW w:w="2160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talk</w:t>
            </w:r>
          </w:p>
        </w:tc>
      </w:tr>
      <w:tr w:rsidR="00DE4DFE" w:rsidRPr="00DE4DFE" w:rsidTr="009402B0">
        <w:trPr>
          <w:trHeight w:val="21"/>
          <w:jc w:val="center"/>
        </w:trPr>
        <w:tc>
          <w:tcPr>
            <w:tcW w:w="170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Child</w:t>
            </w:r>
          </w:p>
        </w:tc>
        <w:tc>
          <w:tcPr>
            <w:tcW w:w="2379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distinct/cultured</w:t>
            </w:r>
          </w:p>
        </w:tc>
        <w:tc>
          <w:tcPr>
            <w:tcW w:w="1545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emotional</w:t>
            </w:r>
          </w:p>
        </w:tc>
        <w:tc>
          <w:tcPr>
            <w:tcW w:w="1663" w:type="dxa"/>
            <w:vAlign w:val="center"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mobile</w:t>
            </w:r>
          </w:p>
        </w:tc>
        <w:tc>
          <w:tcPr>
            <w:tcW w:w="2160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typing</w:t>
            </w:r>
          </w:p>
        </w:tc>
      </w:tr>
      <w:tr w:rsidR="00DE4DFE" w:rsidRPr="00DE4DFE" w:rsidTr="009402B0">
        <w:trPr>
          <w:trHeight w:val="22"/>
          <w:jc w:val="center"/>
        </w:trPr>
        <w:tc>
          <w:tcPr>
            <w:tcW w:w="170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Unknown</w:t>
            </w:r>
          </w:p>
        </w:tc>
        <w:tc>
          <w:tcPr>
            <w:tcW w:w="2379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impeded</w:t>
            </w:r>
          </w:p>
        </w:tc>
        <w:tc>
          <w:tcPr>
            <w:tcW w:w="1545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loud</w:t>
            </w:r>
          </w:p>
        </w:tc>
        <w:tc>
          <w:tcPr>
            <w:tcW w:w="166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public</w:t>
            </w:r>
          </w:p>
        </w:tc>
        <w:tc>
          <w:tcPr>
            <w:tcW w:w="2160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children</w:t>
            </w:r>
          </w:p>
        </w:tc>
      </w:tr>
      <w:tr w:rsidR="00DE4DFE" w:rsidRPr="00DE4DFE" w:rsidTr="009402B0">
        <w:trPr>
          <w:trHeight w:val="21"/>
          <w:jc w:val="center"/>
        </w:trPr>
        <w:tc>
          <w:tcPr>
            <w:tcW w:w="170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 xml:space="preserve"> Age </w:t>
            </w:r>
          </w:p>
        </w:tc>
        <w:tc>
          <w:tcPr>
            <w:tcW w:w="2379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stutter</w:t>
            </w:r>
          </w:p>
        </w:tc>
        <w:tc>
          <w:tcPr>
            <w:tcW w:w="1545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soft</w:t>
            </w:r>
          </w:p>
        </w:tc>
        <w:tc>
          <w:tcPr>
            <w:tcW w:w="166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private</w:t>
            </w:r>
          </w:p>
        </w:tc>
        <w:tc>
          <w:tcPr>
            <w:tcW w:w="2160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traffic</w:t>
            </w:r>
          </w:p>
        </w:tc>
      </w:tr>
      <w:tr w:rsidR="00DE4DFE" w:rsidRPr="00DE4DFE" w:rsidTr="009402B0">
        <w:trPr>
          <w:trHeight w:val="22"/>
          <w:jc w:val="center"/>
        </w:trPr>
        <w:tc>
          <w:tcPr>
            <w:tcW w:w="170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 xml:space="preserve"> Accent </w:t>
            </w:r>
          </w:p>
        </w:tc>
        <w:tc>
          <w:tcPr>
            <w:tcW w:w="2379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nasal</w:t>
            </w:r>
          </w:p>
        </w:tc>
        <w:tc>
          <w:tcPr>
            <w:tcW w:w="1545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pleasant</w:t>
            </w:r>
          </w:p>
        </w:tc>
        <w:tc>
          <w:tcPr>
            <w:tcW w:w="166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Skype</w:t>
            </w:r>
          </w:p>
        </w:tc>
        <w:tc>
          <w:tcPr>
            <w:tcW w:w="2160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machine</w:t>
            </w:r>
          </w:p>
        </w:tc>
      </w:tr>
      <w:tr w:rsidR="00DE4DFE" w:rsidRPr="00DE4DFE" w:rsidTr="009402B0">
        <w:trPr>
          <w:trHeight w:val="21"/>
          <w:jc w:val="center"/>
        </w:trPr>
        <w:tc>
          <w:tcPr>
            <w:tcW w:w="170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 </w:t>
            </w:r>
          </w:p>
        </w:tc>
        <w:tc>
          <w:tcPr>
            <w:tcW w:w="2379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hesitant</w:t>
            </w:r>
          </w:p>
        </w:tc>
        <w:tc>
          <w:tcPr>
            <w:tcW w:w="1545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raspy</w:t>
            </w:r>
          </w:p>
        </w:tc>
        <w:tc>
          <w:tcPr>
            <w:tcW w:w="166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airport</w:t>
            </w:r>
          </w:p>
        </w:tc>
      </w:tr>
      <w:tr w:rsidR="00DE4DFE" w:rsidRPr="00DE4DFE" w:rsidTr="009402B0">
        <w:trPr>
          <w:trHeight w:val="21"/>
          <w:jc w:val="center"/>
        </w:trPr>
        <w:tc>
          <w:tcPr>
            <w:tcW w:w="170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 </w:t>
            </w:r>
          </w:p>
        </w:tc>
        <w:tc>
          <w:tcPr>
            <w:tcW w:w="2379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uneducated</w:t>
            </w:r>
          </w:p>
        </w:tc>
        <w:tc>
          <w:tcPr>
            <w:tcW w:w="1545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intoxicated</w:t>
            </w:r>
          </w:p>
        </w:tc>
        <w:tc>
          <w:tcPr>
            <w:tcW w:w="1663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7F1004" w:rsidRPr="00DE4DFE" w:rsidRDefault="007F1004" w:rsidP="00DE4DFE">
            <w:pPr>
              <w:spacing w:after="0" w:line="360" w:lineRule="auto"/>
              <w:ind w:left="113" w:right="340"/>
              <w:jc w:val="both"/>
              <w:rPr>
                <w:rFonts w:eastAsia="Times New Roman" w:cs="Arial"/>
                <w:color w:val="464646"/>
                <w:lang w:val="en-US"/>
              </w:rPr>
            </w:pPr>
            <w:r w:rsidRPr="00DE4DFE">
              <w:rPr>
                <w:rFonts w:eastAsia="Times New Roman" w:cs="Arial"/>
                <w:color w:val="464646"/>
                <w:lang w:val="en-US"/>
              </w:rPr>
              <w:t>trains</w:t>
            </w:r>
          </w:p>
        </w:tc>
      </w:tr>
    </w:tbl>
    <w:p w:rsidR="007F1004" w:rsidRPr="00DE4DFE" w:rsidRDefault="007F1004" w:rsidP="00DE4DFE">
      <w:pPr>
        <w:spacing w:line="360" w:lineRule="auto"/>
        <w:ind w:left="113" w:right="340"/>
        <w:jc w:val="both"/>
      </w:pPr>
    </w:p>
    <w:p w:rsidR="00154857" w:rsidRDefault="00154857" w:rsidP="00DE4DFE">
      <w:pPr>
        <w:pStyle w:val="ListParagraph"/>
        <w:numPr>
          <w:ilvl w:val="0"/>
          <w:numId w:val="25"/>
        </w:numPr>
        <w:spacing w:line="360" w:lineRule="auto"/>
        <w:ind w:right="340"/>
        <w:jc w:val="both"/>
      </w:pPr>
      <w:r>
        <w:t>Call Triple ‘0’ then safety and security on 6773 2099</w:t>
      </w:r>
    </w:p>
    <w:p w:rsidR="005B4CA4" w:rsidRPr="00DE4DFE" w:rsidRDefault="005B4CA4" w:rsidP="00DE4DFE">
      <w:pPr>
        <w:pStyle w:val="ListParagraph"/>
        <w:numPr>
          <w:ilvl w:val="0"/>
          <w:numId w:val="25"/>
        </w:numPr>
        <w:spacing w:line="360" w:lineRule="auto"/>
        <w:ind w:right="340"/>
        <w:jc w:val="both"/>
      </w:pPr>
      <w:r w:rsidRPr="00DE4DFE">
        <w:t>Relay information to the first responders (usually security personnel) as soon as possible and follow their directions</w:t>
      </w:r>
    </w:p>
    <w:p w:rsidR="005B4CA4" w:rsidRDefault="005B4CA4" w:rsidP="00DE4DFE">
      <w:pPr>
        <w:pStyle w:val="ListParagraph"/>
        <w:numPr>
          <w:ilvl w:val="0"/>
          <w:numId w:val="25"/>
        </w:numPr>
        <w:spacing w:line="360" w:lineRule="auto"/>
        <w:ind w:right="340"/>
        <w:jc w:val="both"/>
      </w:pPr>
      <w:r w:rsidRPr="00DE4DFE">
        <w:t>Cooperate with the arriving emergency personnel while they evaluate the threat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26"/>
        <w:gridCol w:w="1497"/>
        <w:gridCol w:w="1473"/>
        <w:gridCol w:w="1326"/>
        <w:gridCol w:w="1683"/>
      </w:tblGrid>
      <w:tr w:rsidR="00F3488D" w:rsidTr="00F96D8A">
        <w:trPr>
          <w:trHeight w:val="787"/>
          <w:jc w:val="center"/>
        </w:trPr>
        <w:tc>
          <w:tcPr>
            <w:tcW w:w="4869" w:type="dxa"/>
            <w:gridSpan w:val="3"/>
            <w:shd w:val="clear" w:color="auto" w:fill="70AD47" w:themeFill="accent6"/>
            <w:vAlign w:val="center"/>
          </w:tcPr>
          <w:p w:rsidR="00F3488D" w:rsidRDefault="00F3488D" w:rsidP="00F96D8A">
            <w:pPr>
              <w:spacing w:line="360" w:lineRule="auto"/>
              <w:ind w:right="340"/>
            </w:pPr>
            <w:r>
              <w:t>Threat Description</w:t>
            </w:r>
          </w:p>
        </w:tc>
        <w:tc>
          <w:tcPr>
            <w:tcW w:w="1473" w:type="dxa"/>
            <w:shd w:val="clear" w:color="auto" w:fill="70AD47" w:themeFill="accent6"/>
            <w:vAlign w:val="center"/>
          </w:tcPr>
          <w:p w:rsidR="00F3488D" w:rsidRDefault="00F3488D" w:rsidP="00F96D8A">
            <w:pPr>
              <w:spacing w:line="360" w:lineRule="auto"/>
              <w:ind w:right="340"/>
            </w:pPr>
            <w:r>
              <w:t>Explosives capacity¹</w:t>
            </w:r>
          </w:p>
        </w:tc>
        <w:tc>
          <w:tcPr>
            <w:tcW w:w="1326" w:type="dxa"/>
            <w:shd w:val="clear" w:color="auto" w:fill="70AD47" w:themeFill="accent6"/>
            <w:vAlign w:val="center"/>
          </w:tcPr>
          <w:p w:rsidR="00F3488D" w:rsidRDefault="00F96D8A" w:rsidP="00F96D8A">
            <w:pPr>
              <w:spacing w:line="360" w:lineRule="auto"/>
              <w:ind w:right="340"/>
            </w:pPr>
            <w:r>
              <w:t>Distance to safe shelter</w:t>
            </w:r>
            <w:r w:rsidR="00F3488D">
              <w:t>²</w:t>
            </w:r>
          </w:p>
        </w:tc>
        <w:tc>
          <w:tcPr>
            <w:tcW w:w="1683" w:type="dxa"/>
            <w:shd w:val="clear" w:color="auto" w:fill="70AD47" w:themeFill="accent6"/>
            <w:vAlign w:val="center"/>
          </w:tcPr>
          <w:p w:rsidR="00F3488D" w:rsidRDefault="00F3488D" w:rsidP="00F96D8A">
            <w:pPr>
              <w:spacing w:line="360" w:lineRule="auto"/>
              <w:ind w:right="340"/>
            </w:pPr>
            <w:r>
              <w:t>Outdoor evacuation distance</w:t>
            </w:r>
          </w:p>
        </w:tc>
      </w:tr>
      <w:tr w:rsidR="00F3488D" w:rsidTr="00F96D8A">
        <w:trPr>
          <w:trHeight w:val="758"/>
          <w:jc w:val="center"/>
        </w:trPr>
        <w:tc>
          <w:tcPr>
            <w:tcW w:w="846" w:type="dxa"/>
            <w:vMerge w:val="restart"/>
            <w:shd w:val="clear" w:color="auto" w:fill="70AD47" w:themeFill="accent6"/>
            <w:textDirection w:val="btLr"/>
          </w:tcPr>
          <w:p w:rsidR="00F3488D" w:rsidRDefault="00F3488D" w:rsidP="00F3488D">
            <w:pPr>
              <w:spacing w:line="360" w:lineRule="auto"/>
              <w:ind w:left="113" w:right="340"/>
              <w:jc w:val="both"/>
            </w:pPr>
            <w:r>
              <w:t>High Explosives (TNT Equivalent)</w:t>
            </w:r>
          </w:p>
        </w:tc>
        <w:tc>
          <w:tcPr>
            <w:tcW w:w="2526" w:type="dxa"/>
            <w:vAlign w:val="center"/>
          </w:tcPr>
          <w:p w:rsidR="00F3488D" w:rsidRDefault="00F3488D" w:rsidP="00F96D8A">
            <w:pPr>
              <w:spacing w:line="360" w:lineRule="auto"/>
              <w:ind w:right="34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65A9D65" wp14:editId="2D54FA12">
                  <wp:extent cx="483607" cy="931007"/>
                  <wp:effectExtent l="4763" t="0" r="0" b="0"/>
                  <wp:docPr id="5" name="Picture 5" descr="Fuse, Amperes, 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use, Amperes, 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16053" cy="9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 w:rsidR="00F3488D" w:rsidRDefault="00F3488D" w:rsidP="009402B0">
            <w:pPr>
              <w:spacing w:line="360" w:lineRule="auto"/>
              <w:ind w:right="340"/>
              <w:jc w:val="center"/>
            </w:pPr>
            <w:r>
              <w:t>Pipe Bomb</w:t>
            </w:r>
          </w:p>
        </w:tc>
        <w:tc>
          <w:tcPr>
            <w:tcW w:w="1473" w:type="dxa"/>
            <w:vAlign w:val="center"/>
          </w:tcPr>
          <w:p w:rsidR="00F3488D" w:rsidRPr="00DE4DFE" w:rsidRDefault="00F3488D" w:rsidP="00F3488D">
            <w:pPr>
              <w:spacing w:line="360" w:lineRule="auto"/>
              <w:ind w:left="113" w:right="340"/>
              <w:jc w:val="center"/>
              <w:rPr>
                <w:sz w:val="18"/>
              </w:rPr>
            </w:pPr>
            <w:r w:rsidRPr="00DE4DFE">
              <w:rPr>
                <w:sz w:val="18"/>
              </w:rPr>
              <w:t>2.3 kg</w:t>
            </w:r>
          </w:p>
        </w:tc>
        <w:tc>
          <w:tcPr>
            <w:tcW w:w="1326" w:type="dxa"/>
            <w:vAlign w:val="center"/>
          </w:tcPr>
          <w:p w:rsidR="00F3488D" w:rsidRPr="00DE4DFE" w:rsidRDefault="00F3488D" w:rsidP="00F3488D">
            <w:pPr>
              <w:spacing w:line="360" w:lineRule="auto"/>
              <w:ind w:left="113" w:right="340"/>
              <w:jc w:val="center"/>
              <w:rPr>
                <w:sz w:val="18"/>
              </w:rPr>
            </w:pPr>
            <w:r w:rsidRPr="00DE4DFE">
              <w:rPr>
                <w:sz w:val="18"/>
              </w:rPr>
              <w:t>21 m</w:t>
            </w:r>
          </w:p>
        </w:tc>
        <w:tc>
          <w:tcPr>
            <w:tcW w:w="1683" w:type="dxa"/>
            <w:vAlign w:val="center"/>
          </w:tcPr>
          <w:p w:rsidR="00F3488D" w:rsidRPr="00DE4DFE" w:rsidRDefault="00F3488D" w:rsidP="00F3488D">
            <w:pPr>
              <w:spacing w:line="360" w:lineRule="auto"/>
              <w:ind w:left="113" w:right="340"/>
              <w:jc w:val="center"/>
              <w:rPr>
                <w:sz w:val="18"/>
              </w:rPr>
            </w:pPr>
            <w:r w:rsidRPr="00DE4DFE">
              <w:rPr>
                <w:sz w:val="18"/>
              </w:rPr>
              <w:t>259 m</w:t>
            </w:r>
          </w:p>
        </w:tc>
      </w:tr>
      <w:tr w:rsidR="00F3488D" w:rsidTr="00F96D8A">
        <w:trPr>
          <w:trHeight w:val="816"/>
          <w:jc w:val="center"/>
        </w:trPr>
        <w:tc>
          <w:tcPr>
            <w:tcW w:w="846" w:type="dxa"/>
            <w:vMerge/>
            <w:shd w:val="clear" w:color="auto" w:fill="70AD47" w:themeFill="accent6"/>
          </w:tcPr>
          <w:p w:rsidR="00F3488D" w:rsidRDefault="00F3488D" w:rsidP="00F3488D">
            <w:pPr>
              <w:spacing w:line="360" w:lineRule="auto"/>
              <w:ind w:right="340"/>
              <w:jc w:val="both"/>
            </w:pPr>
          </w:p>
        </w:tc>
        <w:tc>
          <w:tcPr>
            <w:tcW w:w="2526" w:type="dxa"/>
            <w:vAlign w:val="center"/>
          </w:tcPr>
          <w:p w:rsidR="00F3488D" w:rsidRDefault="00F3488D" w:rsidP="00F3488D">
            <w:pPr>
              <w:spacing w:line="360" w:lineRule="auto"/>
              <w:ind w:right="34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B183DA6" wp14:editId="2C01EF95">
                  <wp:extent cx="624840" cy="644533"/>
                  <wp:effectExtent l="0" t="0" r="3810" b="3175"/>
                  <wp:docPr id="4" name="Picture 4" descr="Life-Jacket, Safety, Vest, Security, Rescue,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fe-Jacket, Safety, Vest, Security, Rescue,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521" cy="66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 w:rsidR="00F3488D" w:rsidRDefault="00F3488D" w:rsidP="009402B0">
            <w:pPr>
              <w:spacing w:line="360" w:lineRule="auto"/>
              <w:ind w:right="340"/>
              <w:jc w:val="center"/>
            </w:pPr>
            <w:r>
              <w:t>Suicide Vest</w:t>
            </w:r>
          </w:p>
        </w:tc>
        <w:tc>
          <w:tcPr>
            <w:tcW w:w="1473" w:type="dxa"/>
            <w:vAlign w:val="center"/>
          </w:tcPr>
          <w:p w:rsidR="00F3488D" w:rsidRPr="00DE4DFE" w:rsidRDefault="00F3488D" w:rsidP="00F3488D">
            <w:pPr>
              <w:spacing w:line="360" w:lineRule="auto"/>
              <w:ind w:left="113" w:right="340"/>
              <w:jc w:val="center"/>
              <w:rPr>
                <w:sz w:val="18"/>
              </w:rPr>
            </w:pPr>
            <w:r w:rsidRPr="00DE4DFE">
              <w:rPr>
                <w:sz w:val="18"/>
              </w:rPr>
              <w:t>9 kg</w:t>
            </w:r>
          </w:p>
        </w:tc>
        <w:tc>
          <w:tcPr>
            <w:tcW w:w="1326" w:type="dxa"/>
            <w:vAlign w:val="center"/>
          </w:tcPr>
          <w:p w:rsidR="00F3488D" w:rsidRPr="00DE4DFE" w:rsidRDefault="00F3488D" w:rsidP="00F3488D">
            <w:pPr>
              <w:spacing w:line="360" w:lineRule="auto"/>
              <w:ind w:left="113" w:right="340"/>
              <w:jc w:val="center"/>
              <w:rPr>
                <w:sz w:val="18"/>
              </w:rPr>
            </w:pPr>
            <w:r w:rsidRPr="00DE4DFE">
              <w:rPr>
                <w:sz w:val="18"/>
              </w:rPr>
              <w:t>34 m</w:t>
            </w:r>
          </w:p>
        </w:tc>
        <w:tc>
          <w:tcPr>
            <w:tcW w:w="1683" w:type="dxa"/>
            <w:vAlign w:val="center"/>
          </w:tcPr>
          <w:p w:rsidR="00F3488D" w:rsidRPr="00DE4DFE" w:rsidRDefault="00F3488D" w:rsidP="00F3488D">
            <w:pPr>
              <w:spacing w:line="360" w:lineRule="auto"/>
              <w:ind w:left="113" w:right="340"/>
              <w:jc w:val="center"/>
              <w:rPr>
                <w:sz w:val="18"/>
              </w:rPr>
            </w:pPr>
            <w:r w:rsidRPr="00DE4DFE">
              <w:rPr>
                <w:sz w:val="18"/>
              </w:rPr>
              <w:t>415 m</w:t>
            </w:r>
          </w:p>
        </w:tc>
      </w:tr>
      <w:tr w:rsidR="00F3488D" w:rsidTr="00F96D8A">
        <w:trPr>
          <w:trHeight w:val="787"/>
          <w:jc w:val="center"/>
        </w:trPr>
        <w:tc>
          <w:tcPr>
            <w:tcW w:w="846" w:type="dxa"/>
            <w:vMerge/>
            <w:shd w:val="clear" w:color="auto" w:fill="70AD47" w:themeFill="accent6"/>
          </w:tcPr>
          <w:p w:rsidR="00F3488D" w:rsidRDefault="00F3488D" w:rsidP="00F3488D">
            <w:pPr>
              <w:spacing w:line="360" w:lineRule="auto"/>
              <w:ind w:right="340"/>
              <w:jc w:val="both"/>
            </w:pPr>
          </w:p>
        </w:tc>
        <w:tc>
          <w:tcPr>
            <w:tcW w:w="2526" w:type="dxa"/>
            <w:vAlign w:val="center"/>
          </w:tcPr>
          <w:p w:rsidR="00F3488D" w:rsidRDefault="00F3488D" w:rsidP="00F3488D">
            <w:pPr>
              <w:spacing w:line="360" w:lineRule="auto"/>
              <w:ind w:right="34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535FD69" wp14:editId="5347674E">
                  <wp:extent cx="929640" cy="464820"/>
                  <wp:effectExtent l="0" t="0" r="3810" b="0"/>
                  <wp:docPr id="6" name="Picture 6" descr="Suitcase, Carry, Bag, Work, Papers, Carrying, Han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itcase, Carry, Bag, Work, Papers, Carrying, Han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454" cy="46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vAlign w:val="center"/>
          </w:tcPr>
          <w:p w:rsidR="00F3488D" w:rsidRDefault="00F3488D" w:rsidP="009402B0">
            <w:pPr>
              <w:spacing w:line="360" w:lineRule="auto"/>
              <w:ind w:right="340"/>
              <w:jc w:val="center"/>
            </w:pPr>
            <w:r>
              <w:t>Briefcase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F3488D" w:rsidRPr="00DE4DFE" w:rsidRDefault="00F3488D" w:rsidP="00F3488D">
            <w:pPr>
              <w:spacing w:line="360" w:lineRule="auto"/>
              <w:ind w:left="113" w:right="340"/>
              <w:jc w:val="center"/>
              <w:rPr>
                <w:sz w:val="18"/>
              </w:rPr>
            </w:pPr>
            <w:r w:rsidRPr="00DE4DFE">
              <w:rPr>
                <w:sz w:val="18"/>
              </w:rPr>
              <w:t>23 kg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F3488D" w:rsidRPr="00DE4DFE" w:rsidRDefault="00F3488D" w:rsidP="00F3488D">
            <w:pPr>
              <w:spacing w:line="360" w:lineRule="auto"/>
              <w:ind w:left="113" w:right="340"/>
              <w:jc w:val="center"/>
              <w:rPr>
                <w:sz w:val="18"/>
              </w:rPr>
            </w:pPr>
            <w:r w:rsidRPr="00DE4DFE">
              <w:rPr>
                <w:sz w:val="18"/>
              </w:rPr>
              <w:t>46 m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F3488D" w:rsidRPr="00DE4DFE" w:rsidRDefault="00F3488D" w:rsidP="00F3488D">
            <w:pPr>
              <w:spacing w:line="360" w:lineRule="auto"/>
              <w:ind w:left="113" w:right="340"/>
              <w:jc w:val="center"/>
              <w:rPr>
                <w:sz w:val="18"/>
              </w:rPr>
            </w:pPr>
            <w:r w:rsidRPr="00DE4DFE">
              <w:rPr>
                <w:sz w:val="18"/>
              </w:rPr>
              <w:t>564 m</w:t>
            </w:r>
          </w:p>
        </w:tc>
      </w:tr>
    </w:tbl>
    <w:p w:rsidR="00F3488D" w:rsidRPr="00F3488D" w:rsidRDefault="00F3488D" w:rsidP="009402B0">
      <w:pPr>
        <w:spacing w:line="240" w:lineRule="auto"/>
        <w:ind w:right="340" w:firstLine="720"/>
        <w:jc w:val="both"/>
        <w:rPr>
          <w:sz w:val="16"/>
        </w:rPr>
      </w:pPr>
      <w:r w:rsidRPr="00F3488D">
        <w:rPr>
          <w:sz w:val="16"/>
        </w:rPr>
        <w:t>¹ - Based on the maximum amount of material that could reasonably fit into a container.  Variations are possible.</w:t>
      </w:r>
    </w:p>
    <w:p w:rsidR="00DE4DFE" w:rsidRPr="00F3488D" w:rsidRDefault="00F3488D" w:rsidP="009402B0">
      <w:pPr>
        <w:spacing w:line="240" w:lineRule="auto"/>
        <w:ind w:right="340" w:firstLine="720"/>
        <w:jc w:val="both"/>
        <w:rPr>
          <w:sz w:val="16"/>
        </w:rPr>
      </w:pPr>
      <w:r w:rsidRPr="00F3488D">
        <w:rPr>
          <w:sz w:val="16"/>
        </w:rPr>
        <w:t>² - Governed by the ability of an unreinforced building to withstand damage or collapse</w:t>
      </w:r>
    </w:p>
    <w:p w:rsidR="005B4CA4" w:rsidRPr="00DE4DFE" w:rsidRDefault="005B4CA4" w:rsidP="00DE4DFE">
      <w:pPr>
        <w:spacing w:line="360" w:lineRule="auto"/>
        <w:ind w:left="113" w:right="340"/>
        <w:jc w:val="both"/>
        <w:rPr>
          <w:rFonts w:ascii="Arial" w:hAnsi="Arial" w:cs="Arial"/>
          <w:color w:val="C00000"/>
          <w:sz w:val="24"/>
        </w:rPr>
      </w:pPr>
      <w:r w:rsidRPr="00DE4DFE">
        <w:rPr>
          <w:rFonts w:ascii="Arial" w:hAnsi="Arial" w:cs="Arial"/>
          <w:color w:val="C00000"/>
          <w:sz w:val="24"/>
        </w:rPr>
        <w:lastRenderedPageBreak/>
        <w:t>Suspicious packages</w:t>
      </w:r>
    </w:p>
    <w:p w:rsidR="005B4CA4" w:rsidRPr="00DE4DFE" w:rsidRDefault="005B4CA4" w:rsidP="00DE4DFE">
      <w:pPr>
        <w:spacing w:line="360" w:lineRule="auto"/>
        <w:ind w:left="113" w:right="340"/>
        <w:jc w:val="both"/>
        <w:rPr>
          <w:u w:val="single"/>
        </w:rPr>
      </w:pPr>
      <w:r w:rsidRPr="00DE4DFE">
        <w:rPr>
          <w:u w:val="single"/>
        </w:rPr>
        <w:t>Recognition</w:t>
      </w:r>
    </w:p>
    <w:p w:rsidR="005B4CA4" w:rsidRPr="00DE4DFE" w:rsidRDefault="005B4CA4" w:rsidP="00DE4DFE">
      <w:pPr>
        <w:pStyle w:val="ListParagraph"/>
        <w:numPr>
          <w:ilvl w:val="0"/>
          <w:numId w:val="14"/>
        </w:numPr>
        <w:spacing w:line="360" w:lineRule="auto"/>
        <w:ind w:left="473" w:right="340"/>
        <w:jc w:val="both"/>
      </w:pPr>
      <w:r w:rsidRPr="00DE4DFE">
        <w:t>Often have unusual postmarks from an unknown source</w:t>
      </w:r>
    </w:p>
    <w:p w:rsidR="005B4CA4" w:rsidRPr="00DE4DFE" w:rsidRDefault="005B4CA4" w:rsidP="00DE4DFE">
      <w:pPr>
        <w:pStyle w:val="ListParagraph"/>
        <w:numPr>
          <w:ilvl w:val="0"/>
          <w:numId w:val="14"/>
        </w:numPr>
        <w:spacing w:line="360" w:lineRule="auto"/>
        <w:ind w:left="473" w:right="340"/>
        <w:jc w:val="both"/>
      </w:pPr>
      <w:r w:rsidRPr="00DE4DFE">
        <w:t>Labelled with Restrictive markings, misspelling of common words, or poor handwriting/typing</w:t>
      </w:r>
    </w:p>
    <w:p w:rsidR="005B4CA4" w:rsidRPr="00DE4DFE" w:rsidRDefault="005B4CA4" w:rsidP="00DE4DFE">
      <w:pPr>
        <w:pStyle w:val="ListParagraph"/>
        <w:numPr>
          <w:ilvl w:val="0"/>
          <w:numId w:val="14"/>
        </w:numPr>
        <w:spacing w:line="360" w:lineRule="auto"/>
        <w:ind w:left="473" w:right="340"/>
        <w:jc w:val="both"/>
      </w:pPr>
      <w:r w:rsidRPr="00DE4DFE">
        <w:t>Unusual size, shape, weight, feel or smell</w:t>
      </w:r>
    </w:p>
    <w:p w:rsidR="005B4CA4" w:rsidRPr="00DE4DFE" w:rsidRDefault="005B4CA4" w:rsidP="00DE4DFE">
      <w:pPr>
        <w:pStyle w:val="ListParagraph"/>
        <w:numPr>
          <w:ilvl w:val="0"/>
          <w:numId w:val="14"/>
        </w:numPr>
        <w:spacing w:line="360" w:lineRule="auto"/>
        <w:ind w:left="473" w:right="340"/>
        <w:jc w:val="both"/>
      </w:pPr>
      <w:r w:rsidRPr="00DE4DFE">
        <w:t>Excessive tape or postage, discoloured, and sometimes with stains or powdery deposits</w:t>
      </w:r>
    </w:p>
    <w:p w:rsidR="005B4CA4" w:rsidRPr="00DE4DFE" w:rsidRDefault="005B4CA4" w:rsidP="00DE4DFE">
      <w:pPr>
        <w:spacing w:line="360" w:lineRule="auto"/>
        <w:ind w:left="113" w:right="340"/>
        <w:jc w:val="both"/>
        <w:rPr>
          <w:u w:val="single"/>
        </w:rPr>
      </w:pPr>
      <w:r w:rsidRPr="00DE4DFE">
        <w:rPr>
          <w:u w:val="single"/>
        </w:rPr>
        <w:t>What to do</w:t>
      </w:r>
    </w:p>
    <w:p w:rsidR="005B4CA4" w:rsidRPr="00DE4DFE" w:rsidRDefault="005B4CA4" w:rsidP="00DE4DFE">
      <w:pPr>
        <w:pStyle w:val="ListParagraph"/>
        <w:numPr>
          <w:ilvl w:val="0"/>
          <w:numId w:val="19"/>
        </w:numPr>
        <w:spacing w:line="360" w:lineRule="auto"/>
        <w:ind w:right="340"/>
        <w:jc w:val="both"/>
      </w:pPr>
      <w:r w:rsidRPr="00DE4DFE">
        <w:t>Do not touch, smell, taste or open the suspicious package</w:t>
      </w:r>
    </w:p>
    <w:p w:rsidR="005B4CA4" w:rsidRPr="00DE4DFE" w:rsidRDefault="005B4CA4" w:rsidP="00DE4DFE">
      <w:pPr>
        <w:pStyle w:val="ListParagraph"/>
        <w:numPr>
          <w:ilvl w:val="0"/>
          <w:numId w:val="19"/>
        </w:numPr>
        <w:spacing w:line="360" w:lineRule="auto"/>
        <w:ind w:right="340"/>
        <w:jc w:val="both"/>
      </w:pPr>
      <w:r w:rsidRPr="00DE4DFE">
        <w:t>Isolate the immediate area, moving people away</w:t>
      </w:r>
    </w:p>
    <w:p w:rsidR="005B4CA4" w:rsidRPr="00DE4DFE" w:rsidRDefault="005B4CA4" w:rsidP="00DE4DFE">
      <w:pPr>
        <w:pStyle w:val="ListParagraph"/>
        <w:numPr>
          <w:ilvl w:val="0"/>
          <w:numId w:val="19"/>
        </w:numPr>
        <w:spacing w:line="360" w:lineRule="auto"/>
        <w:ind w:right="340"/>
        <w:jc w:val="both"/>
      </w:pPr>
      <w:r w:rsidRPr="00DE4DFE">
        <w:t>Call Emergency on ‘000’ then Safety and Security on 6773 2099</w:t>
      </w:r>
    </w:p>
    <w:p w:rsidR="005B4CA4" w:rsidRPr="00DE4DFE" w:rsidRDefault="005B4CA4" w:rsidP="00DE4DFE">
      <w:pPr>
        <w:pStyle w:val="ListParagraph"/>
        <w:numPr>
          <w:ilvl w:val="0"/>
          <w:numId w:val="19"/>
        </w:numPr>
        <w:spacing w:line="360" w:lineRule="auto"/>
        <w:ind w:right="340"/>
        <w:jc w:val="both"/>
      </w:pPr>
      <w:r w:rsidRPr="00DE4DFE">
        <w:t>Relay information to the first responders (usually security personnel) as soon as possible and follow their directions</w:t>
      </w:r>
    </w:p>
    <w:p w:rsidR="003B7D99" w:rsidRPr="00DE4DFE" w:rsidRDefault="006F79A1" w:rsidP="00DE4DFE">
      <w:pPr>
        <w:spacing w:line="360" w:lineRule="auto"/>
        <w:ind w:left="113" w:right="340"/>
        <w:jc w:val="both"/>
        <w:rPr>
          <w:rFonts w:ascii="Arial" w:hAnsi="Arial" w:cs="Arial"/>
          <w:color w:val="C00000"/>
          <w:sz w:val="24"/>
        </w:rPr>
      </w:pPr>
      <w:r w:rsidRPr="00DE4DFE">
        <w:rPr>
          <w:rFonts w:ascii="Arial" w:hAnsi="Arial" w:cs="Arial"/>
          <w:color w:val="C00000"/>
          <w:sz w:val="24"/>
        </w:rPr>
        <w:t>Protect your own life</w:t>
      </w:r>
      <w:r w:rsidR="003B7D99" w:rsidRPr="00DE4DFE">
        <w:rPr>
          <w:rFonts w:ascii="Arial" w:hAnsi="Arial" w:cs="Arial"/>
          <w:color w:val="C00000"/>
          <w:sz w:val="24"/>
        </w:rPr>
        <w:t xml:space="preserve"> </w:t>
      </w:r>
    </w:p>
    <w:p w:rsidR="00F66E51" w:rsidRPr="00DE4DFE" w:rsidRDefault="003B7D99" w:rsidP="00DE4DFE">
      <w:pPr>
        <w:spacing w:line="360" w:lineRule="auto"/>
        <w:ind w:left="113" w:right="340"/>
        <w:jc w:val="both"/>
      </w:pPr>
      <w:r w:rsidRPr="00DE4DFE">
        <w:t>I</w:t>
      </w:r>
      <w:r w:rsidR="006F79A1" w:rsidRPr="00DE4DFE">
        <w:t>n the absence of any direction from the University, use your best judgement to remove yourself from danger, either by taking shelter-in-place within your building or by evacuating to a safer place on</w:t>
      </w:r>
      <w:r w:rsidR="00154857">
        <w:t>/off</w:t>
      </w:r>
      <w:r w:rsidR="006F79A1" w:rsidRPr="00DE4DFE">
        <w:t xml:space="preserve"> Campus.</w:t>
      </w:r>
    </w:p>
    <w:p w:rsidR="003B7D99" w:rsidRPr="00DE4DFE" w:rsidRDefault="006F79A1" w:rsidP="00DE4DFE">
      <w:pPr>
        <w:spacing w:line="360" w:lineRule="auto"/>
        <w:ind w:left="113" w:right="340"/>
        <w:jc w:val="both"/>
        <w:rPr>
          <w:rFonts w:ascii="Arial" w:hAnsi="Arial" w:cs="Arial"/>
          <w:color w:val="C00000"/>
          <w:sz w:val="24"/>
        </w:rPr>
      </w:pPr>
      <w:r w:rsidRPr="00DE4DFE">
        <w:rPr>
          <w:rFonts w:ascii="Arial" w:hAnsi="Arial" w:cs="Arial"/>
          <w:color w:val="C00000"/>
          <w:sz w:val="24"/>
        </w:rPr>
        <w:t>Protect the life of your fellow student or staff member</w:t>
      </w:r>
    </w:p>
    <w:p w:rsidR="006F79A1" w:rsidRPr="00DE4DFE" w:rsidRDefault="006F79A1" w:rsidP="00DE4DFE">
      <w:pPr>
        <w:spacing w:line="360" w:lineRule="auto"/>
        <w:ind w:left="113" w:right="340"/>
        <w:jc w:val="both"/>
      </w:pPr>
      <w:r w:rsidRPr="00DE4DFE">
        <w:t>Alert others in your immediate area to the danger, and act together for the benefit of everyone. Try to identify the safest escape route.</w:t>
      </w:r>
    </w:p>
    <w:p w:rsidR="003B7D99" w:rsidRPr="00DE4DFE" w:rsidRDefault="006F79A1" w:rsidP="00DE4DFE">
      <w:pPr>
        <w:spacing w:line="360" w:lineRule="auto"/>
        <w:ind w:left="113" w:right="340"/>
        <w:jc w:val="both"/>
        <w:rPr>
          <w:rFonts w:ascii="Arial" w:hAnsi="Arial" w:cs="Arial"/>
          <w:color w:val="C00000"/>
          <w:sz w:val="24"/>
        </w:rPr>
      </w:pPr>
      <w:r w:rsidRPr="00DE4DFE">
        <w:rPr>
          <w:rFonts w:ascii="Arial" w:hAnsi="Arial" w:cs="Arial"/>
          <w:color w:val="C00000"/>
          <w:sz w:val="24"/>
        </w:rPr>
        <w:t>Be aware of your surroundings</w:t>
      </w:r>
    </w:p>
    <w:p w:rsidR="006F79A1" w:rsidRPr="00DE4DFE" w:rsidRDefault="006F79A1" w:rsidP="00DE4DFE">
      <w:pPr>
        <w:spacing w:line="360" w:lineRule="auto"/>
        <w:ind w:left="113" w:right="340"/>
        <w:jc w:val="both"/>
      </w:pPr>
      <w:r w:rsidRPr="00DE4DFE">
        <w:t>Be aware of your exact location and try to identify the safest location for you to go to, via the safest escape route from where you are.</w:t>
      </w:r>
    </w:p>
    <w:p w:rsidR="006F79A1" w:rsidRPr="00DE4DFE" w:rsidRDefault="006F79A1" w:rsidP="00DE4DFE">
      <w:pPr>
        <w:spacing w:line="360" w:lineRule="auto"/>
        <w:ind w:left="113" w:right="340"/>
        <w:jc w:val="both"/>
      </w:pPr>
      <w:r w:rsidRPr="00DE4DFE">
        <w:t xml:space="preserve">Call for Help - If you have a mobile phone, dial "000" for </w:t>
      </w:r>
      <w:r w:rsidR="009478D1" w:rsidRPr="00DE4DFE">
        <w:t>Emergency Services then 6773 20</w:t>
      </w:r>
      <w:r w:rsidRPr="00DE4DFE">
        <w:t xml:space="preserve">99 for UNE Security and Safety.  </w:t>
      </w:r>
    </w:p>
    <w:p w:rsidR="003B7D99" w:rsidRPr="00DE4DFE" w:rsidRDefault="00E75828" w:rsidP="00DE4DFE">
      <w:pPr>
        <w:spacing w:line="360" w:lineRule="auto"/>
        <w:ind w:left="113" w:right="340"/>
        <w:jc w:val="both"/>
      </w:pPr>
      <w:r w:rsidRPr="00DE4DFE">
        <w:t>If you are near a Campus Help Phone</w:t>
      </w:r>
      <w:r w:rsidR="006F79A1" w:rsidRPr="00DE4DFE">
        <w:t xml:space="preserve">, activate the call button and provide clear detailed information to the Security Control Centre. There </w:t>
      </w:r>
      <w:r w:rsidRPr="00DE4DFE">
        <w:t>are UNE</w:t>
      </w:r>
      <w:r w:rsidR="006F79A1" w:rsidRPr="00DE4DFE">
        <w:t xml:space="preserve"> internal phones in all Campus buil</w:t>
      </w:r>
      <w:r w:rsidRPr="00DE4DFE">
        <w:t>dings in an emergency dial "000</w:t>
      </w:r>
      <w:r w:rsidR="006F79A1" w:rsidRPr="00DE4DFE">
        <w:t>"</w:t>
      </w:r>
      <w:r w:rsidRPr="00DE4DFE">
        <w:t xml:space="preserve"> for </w:t>
      </w:r>
      <w:r w:rsidRPr="00DE4DFE">
        <w:lastRenderedPageBreak/>
        <w:t xml:space="preserve">Emergency Services then </w:t>
      </w:r>
      <w:r w:rsidR="007F1004" w:rsidRPr="00DE4DFE">
        <w:t>“20</w:t>
      </w:r>
      <w:r w:rsidRPr="00DE4DFE">
        <w:t>99” for Safety and Security</w:t>
      </w:r>
      <w:r w:rsidR="006F79A1" w:rsidRPr="00DE4DFE">
        <w:t>.  This is the Campus Emergency telephone number and it receives priority handlin</w:t>
      </w:r>
      <w:r w:rsidRPr="00DE4DFE">
        <w:t>g</w:t>
      </w:r>
      <w:r w:rsidR="006F79A1" w:rsidRPr="00DE4DFE">
        <w:t>. Remember, it is inevitable that Police or any other responding Emergency Services</w:t>
      </w:r>
      <w:r w:rsidRPr="00DE4DFE">
        <w:t xml:space="preserve"> will take</w:t>
      </w:r>
      <w:r w:rsidR="006F79A1" w:rsidRPr="00DE4DFE">
        <w:t xml:space="preserve"> a number of minutes to arrive on Campus, and then to the actual location of the incident.</w:t>
      </w:r>
    </w:p>
    <w:sectPr w:rsidR="003B7D99" w:rsidRPr="00DE4DFE" w:rsidSect="002601B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AC" w:rsidRDefault="00036CAC" w:rsidP="00036CAC">
      <w:pPr>
        <w:spacing w:after="0" w:line="240" w:lineRule="auto"/>
      </w:pPr>
      <w:r>
        <w:separator/>
      </w:r>
    </w:p>
  </w:endnote>
  <w:endnote w:type="continuationSeparator" w:id="0">
    <w:p w:rsidR="00036CAC" w:rsidRDefault="00036CAC" w:rsidP="0003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77"/>
      <w:gridCol w:w="1478"/>
      <w:gridCol w:w="1477"/>
      <w:gridCol w:w="1478"/>
      <w:gridCol w:w="1477"/>
      <w:gridCol w:w="1478"/>
      <w:gridCol w:w="1478"/>
    </w:tblGrid>
    <w:tr w:rsidR="00C309FA" w:rsidRPr="00CE4252" w:rsidTr="00E578AB">
      <w:tc>
        <w:tcPr>
          <w:tcW w:w="1477" w:type="dxa"/>
        </w:tcPr>
        <w:p w:rsidR="00C309FA" w:rsidRPr="00CE4252" w:rsidRDefault="00C309FA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478" w:type="dxa"/>
        </w:tcPr>
        <w:p w:rsidR="00C309FA" w:rsidRPr="00CE4252" w:rsidRDefault="00C309FA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477" w:type="dxa"/>
        </w:tcPr>
        <w:p w:rsidR="00C309FA" w:rsidRPr="00CE4252" w:rsidRDefault="00C309FA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478" w:type="dxa"/>
        </w:tcPr>
        <w:p w:rsidR="00C309FA" w:rsidRPr="00CE4252" w:rsidRDefault="00C309FA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477" w:type="dxa"/>
        </w:tcPr>
        <w:p w:rsidR="00C309FA" w:rsidRPr="00CE4252" w:rsidRDefault="00C309FA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478" w:type="dxa"/>
        </w:tcPr>
        <w:p w:rsidR="00C309FA" w:rsidRDefault="00C309FA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478" w:type="dxa"/>
        </w:tcPr>
        <w:p w:rsidR="00C309FA" w:rsidRDefault="00C309FA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Date </w:t>
          </w:r>
        </w:p>
        <w:p w:rsidR="00C309FA" w:rsidRPr="00CE4252" w:rsidRDefault="00C309FA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C309FA" w:rsidRPr="00CE4252" w:rsidTr="00E578AB">
      <w:tc>
        <w:tcPr>
          <w:tcW w:w="1477" w:type="dxa"/>
        </w:tcPr>
        <w:p w:rsidR="00C309FA" w:rsidRPr="00CE4252" w:rsidRDefault="00C309FA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G006</w:t>
          </w:r>
        </w:p>
      </w:tc>
      <w:tc>
        <w:tcPr>
          <w:tcW w:w="1478" w:type="dxa"/>
        </w:tcPr>
        <w:p w:rsidR="00C309FA" w:rsidRDefault="00C309FA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n/a</w:t>
          </w:r>
        </w:p>
      </w:tc>
      <w:tc>
        <w:tcPr>
          <w:tcW w:w="1477" w:type="dxa"/>
        </w:tcPr>
        <w:p w:rsidR="00C309FA" w:rsidRPr="00CE4252" w:rsidRDefault="00C309FA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1478" w:type="dxa"/>
        </w:tcPr>
        <w:p w:rsidR="00C309FA" w:rsidRPr="00CE4252" w:rsidRDefault="000D0A10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16/2/2017</w:t>
          </w:r>
        </w:p>
      </w:tc>
      <w:tc>
        <w:tcPr>
          <w:tcW w:w="1477" w:type="dxa"/>
        </w:tcPr>
        <w:p w:rsidR="00C309FA" w:rsidRPr="00CE4252" w:rsidRDefault="000D0A10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16/2/2020</w:t>
          </w:r>
        </w:p>
      </w:tc>
      <w:tc>
        <w:tcPr>
          <w:tcW w:w="1478" w:type="dxa"/>
        </w:tcPr>
        <w:p w:rsidR="00C309FA" w:rsidRPr="00CE4252" w:rsidRDefault="00C309FA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0D0A10" w:rsidRPr="000D0A10">
            <w:rPr>
              <w:rFonts w:ascii="Arial" w:hAnsi="Arial" w:cs="Arial"/>
              <w:noProof/>
            </w:rPr>
            <w:t>2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478" w:type="dxa"/>
        </w:tcPr>
        <w:p w:rsidR="00C309FA" w:rsidRPr="00CE4252" w:rsidRDefault="00C309FA" w:rsidP="00C309F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0D0A10">
            <w:rPr>
              <w:rFonts w:ascii="Arial" w:hAnsi="Arial" w:cs="Arial"/>
              <w:noProof/>
              <w:sz w:val="18"/>
              <w:szCs w:val="18"/>
            </w:rPr>
            <w:t>27/02/2017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309FA" w:rsidRDefault="00C30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AC" w:rsidRDefault="00036CAC" w:rsidP="00036CAC">
      <w:pPr>
        <w:spacing w:after="0" w:line="240" w:lineRule="auto"/>
      </w:pPr>
      <w:r>
        <w:separator/>
      </w:r>
    </w:p>
  </w:footnote>
  <w:footnote w:type="continuationSeparator" w:id="0">
    <w:p w:rsidR="00036CAC" w:rsidRDefault="00036CAC" w:rsidP="0003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8"/>
      <w:gridCol w:w="6884"/>
    </w:tblGrid>
    <w:tr w:rsidR="00C309FA" w:rsidRPr="00602490" w:rsidTr="00E578AB">
      <w:tc>
        <w:tcPr>
          <w:tcW w:w="2358" w:type="dxa"/>
        </w:tcPr>
        <w:p w:rsidR="00C309FA" w:rsidRPr="00A74542" w:rsidRDefault="00C309FA" w:rsidP="00C309FA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14C884D9" wp14:editId="6B9D2569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C309FA" w:rsidRPr="00602490" w:rsidRDefault="00C309FA" w:rsidP="00C309FA">
          <w:pPr>
            <w:rPr>
              <w:color w:val="FF0000"/>
              <w:sz w:val="24"/>
              <w:szCs w:val="24"/>
            </w:rPr>
          </w:pPr>
        </w:p>
        <w:p w:rsidR="00C309FA" w:rsidRPr="00602490" w:rsidRDefault="00C309FA" w:rsidP="00C309FA">
          <w:pPr>
            <w:rPr>
              <w:b/>
              <w:color w:val="FF0000"/>
              <w:sz w:val="48"/>
              <w:szCs w:val="48"/>
            </w:rPr>
          </w:pPr>
          <w:r w:rsidRPr="00602490">
            <w:rPr>
              <w:b/>
              <w:color w:val="FF0000"/>
              <w:sz w:val="48"/>
              <w:szCs w:val="48"/>
            </w:rPr>
            <w:t xml:space="preserve">Emergency Response Plan – </w:t>
          </w:r>
          <w:r>
            <w:rPr>
              <w:b/>
              <w:color w:val="FF0000"/>
              <w:sz w:val="48"/>
              <w:szCs w:val="48"/>
            </w:rPr>
            <w:t>Bomb/Explosion</w:t>
          </w:r>
        </w:p>
        <w:p w:rsidR="00C309FA" w:rsidRPr="00602490" w:rsidRDefault="00C309FA" w:rsidP="00C309FA">
          <w:pPr>
            <w:rPr>
              <w:color w:val="FF0000"/>
              <w:sz w:val="24"/>
              <w:szCs w:val="24"/>
            </w:rPr>
          </w:pPr>
        </w:p>
      </w:tc>
    </w:tr>
  </w:tbl>
  <w:p w:rsidR="00036CAC" w:rsidRPr="00036CAC" w:rsidRDefault="00036CAC" w:rsidP="0070725B">
    <w:pPr>
      <w:pStyle w:val="Header"/>
      <w:jc w:val="center"/>
      <w:rPr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6F13"/>
    <w:multiLevelType w:val="hybridMultilevel"/>
    <w:tmpl w:val="14EE6590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38C2F24"/>
    <w:multiLevelType w:val="hybridMultilevel"/>
    <w:tmpl w:val="5472E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0C51"/>
    <w:multiLevelType w:val="hybridMultilevel"/>
    <w:tmpl w:val="9FAAAC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F551FB"/>
    <w:multiLevelType w:val="hybridMultilevel"/>
    <w:tmpl w:val="AE7A0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026BE"/>
    <w:multiLevelType w:val="hybridMultilevel"/>
    <w:tmpl w:val="180A8128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0DD72B1E"/>
    <w:multiLevelType w:val="hybridMultilevel"/>
    <w:tmpl w:val="B7F01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800BF"/>
    <w:multiLevelType w:val="hybridMultilevel"/>
    <w:tmpl w:val="775A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B396E"/>
    <w:multiLevelType w:val="hybridMultilevel"/>
    <w:tmpl w:val="FDC8845A"/>
    <w:lvl w:ilvl="0" w:tplc="0C09000F">
      <w:start w:val="1"/>
      <w:numFmt w:val="decimal"/>
      <w:lvlText w:val="%1."/>
      <w:lvlJc w:val="left"/>
      <w:pPr>
        <w:ind w:left="777" w:hanging="360"/>
      </w:p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AA553D7"/>
    <w:multiLevelType w:val="hybridMultilevel"/>
    <w:tmpl w:val="32681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34A1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1358AA"/>
    <w:multiLevelType w:val="hybridMultilevel"/>
    <w:tmpl w:val="67385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94450"/>
    <w:multiLevelType w:val="hybridMultilevel"/>
    <w:tmpl w:val="02082466"/>
    <w:lvl w:ilvl="0" w:tplc="0C09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E546D8A"/>
    <w:multiLevelType w:val="hybridMultilevel"/>
    <w:tmpl w:val="10D2B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03E68"/>
    <w:multiLevelType w:val="hybridMultilevel"/>
    <w:tmpl w:val="A4BC5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4177A"/>
    <w:multiLevelType w:val="hybridMultilevel"/>
    <w:tmpl w:val="C8A87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E5E75"/>
    <w:multiLevelType w:val="hybridMultilevel"/>
    <w:tmpl w:val="06401F3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7332"/>
    <w:multiLevelType w:val="hybridMultilevel"/>
    <w:tmpl w:val="0F242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D355D"/>
    <w:multiLevelType w:val="hybridMultilevel"/>
    <w:tmpl w:val="DBE6CA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6BE9"/>
    <w:multiLevelType w:val="hybridMultilevel"/>
    <w:tmpl w:val="4F4C8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A69D9"/>
    <w:multiLevelType w:val="hybridMultilevel"/>
    <w:tmpl w:val="E90E5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E14DD"/>
    <w:multiLevelType w:val="hybridMultilevel"/>
    <w:tmpl w:val="182C8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360B2"/>
    <w:multiLevelType w:val="hybridMultilevel"/>
    <w:tmpl w:val="27C89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95AD4"/>
    <w:multiLevelType w:val="hybridMultilevel"/>
    <w:tmpl w:val="A07ACEB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D02386"/>
    <w:multiLevelType w:val="hybridMultilevel"/>
    <w:tmpl w:val="FB6021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3683B"/>
    <w:multiLevelType w:val="hybridMultilevel"/>
    <w:tmpl w:val="FD044A4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24"/>
  </w:num>
  <w:num w:numId="5">
    <w:abstractNumId w:val="22"/>
  </w:num>
  <w:num w:numId="6">
    <w:abstractNumId w:val="13"/>
  </w:num>
  <w:num w:numId="7">
    <w:abstractNumId w:val="12"/>
  </w:num>
  <w:num w:numId="8">
    <w:abstractNumId w:val="3"/>
  </w:num>
  <w:num w:numId="9">
    <w:abstractNumId w:val="18"/>
  </w:num>
  <w:num w:numId="10">
    <w:abstractNumId w:val="10"/>
  </w:num>
  <w:num w:numId="11">
    <w:abstractNumId w:val="21"/>
  </w:num>
  <w:num w:numId="12">
    <w:abstractNumId w:val="2"/>
  </w:num>
  <w:num w:numId="13">
    <w:abstractNumId w:val="19"/>
  </w:num>
  <w:num w:numId="14">
    <w:abstractNumId w:val="8"/>
  </w:num>
  <w:num w:numId="15">
    <w:abstractNumId w:val="6"/>
  </w:num>
  <w:num w:numId="16">
    <w:abstractNumId w:val="16"/>
  </w:num>
  <w:num w:numId="17">
    <w:abstractNumId w:val="5"/>
  </w:num>
  <w:num w:numId="18">
    <w:abstractNumId w:val="1"/>
  </w:num>
  <w:num w:numId="19">
    <w:abstractNumId w:val="0"/>
  </w:num>
  <w:num w:numId="20">
    <w:abstractNumId w:val="11"/>
  </w:num>
  <w:num w:numId="21">
    <w:abstractNumId w:val="17"/>
  </w:num>
  <w:num w:numId="22">
    <w:abstractNumId w:val="20"/>
  </w:num>
  <w:num w:numId="23">
    <w:abstractNumId w:val="15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j9jq9S/6MmMZhOjUqiWGIx9vjYGiat315M+R9urOUVs7SxNEsFMTuT3s4yD6SXZbVvEQKLKF4206w013K+pUw==" w:salt="gy5xZzmYXB0UG+uk7ngGJ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AC"/>
    <w:rsid w:val="00026154"/>
    <w:rsid w:val="00036CAC"/>
    <w:rsid w:val="00075028"/>
    <w:rsid w:val="000A6A19"/>
    <w:rsid w:val="000B12E0"/>
    <w:rsid w:val="000B2914"/>
    <w:rsid w:val="000D0A10"/>
    <w:rsid w:val="000D5BB2"/>
    <w:rsid w:val="00102CE6"/>
    <w:rsid w:val="0012418C"/>
    <w:rsid w:val="00154857"/>
    <w:rsid w:val="001946CC"/>
    <w:rsid w:val="0019526B"/>
    <w:rsid w:val="001D7391"/>
    <w:rsid w:val="001F71BE"/>
    <w:rsid w:val="002076DA"/>
    <w:rsid w:val="002475B8"/>
    <w:rsid w:val="00257058"/>
    <w:rsid w:val="002601B2"/>
    <w:rsid w:val="002745A9"/>
    <w:rsid w:val="00280D24"/>
    <w:rsid w:val="002A53CD"/>
    <w:rsid w:val="002D0759"/>
    <w:rsid w:val="002F116C"/>
    <w:rsid w:val="003144FD"/>
    <w:rsid w:val="00340EF3"/>
    <w:rsid w:val="00363BF1"/>
    <w:rsid w:val="003B7D99"/>
    <w:rsid w:val="00417268"/>
    <w:rsid w:val="00516916"/>
    <w:rsid w:val="0057434F"/>
    <w:rsid w:val="005B4CA4"/>
    <w:rsid w:val="005C3AD5"/>
    <w:rsid w:val="005E6467"/>
    <w:rsid w:val="005F6792"/>
    <w:rsid w:val="00605FEB"/>
    <w:rsid w:val="00611B5D"/>
    <w:rsid w:val="00667047"/>
    <w:rsid w:val="0067239B"/>
    <w:rsid w:val="00684056"/>
    <w:rsid w:val="00693C56"/>
    <w:rsid w:val="006A6A14"/>
    <w:rsid w:val="006E6EAB"/>
    <w:rsid w:val="006F79A1"/>
    <w:rsid w:val="00703834"/>
    <w:rsid w:val="0070725B"/>
    <w:rsid w:val="007B5398"/>
    <w:rsid w:val="007F1004"/>
    <w:rsid w:val="007F1360"/>
    <w:rsid w:val="007F2389"/>
    <w:rsid w:val="00835B1F"/>
    <w:rsid w:val="008847A4"/>
    <w:rsid w:val="008E327E"/>
    <w:rsid w:val="009402B0"/>
    <w:rsid w:val="009478D1"/>
    <w:rsid w:val="00990091"/>
    <w:rsid w:val="009A098B"/>
    <w:rsid w:val="009C3A75"/>
    <w:rsid w:val="009D499A"/>
    <w:rsid w:val="00A30ACE"/>
    <w:rsid w:val="00A37A37"/>
    <w:rsid w:val="00A54BAD"/>
    <w:rsid w:val="00A57AA5"/>
    <w:rsid w:val="00AB4026"/>
    <w:rsid w:val="00AD4746"/>
    <w:rsid w:val="00AE65AA"/>
    <w:rsid w:val="00B37C83"/>
    <w:rsid w:val="00B4200F"/>
    <w:rsid w:val="00B53982"/>
    <w:rsid w:val="00B66F5C"/>
    <w:rsid w:val="00BA1149"/>
    <w:rsid w:val="00BB3EE9"/>
    <w:rsid w:val="00C0487F"/>
    <w:rsid w:val="00C309FA"/>
    <w:rsid w:val="00CC1265"/>
    <w:rsid w:val="00D24A63"/>
    <w:rsid w:val="00D773C1"/>
    <w:rsid w:val="00DB1FA4"/>
    <w:rsid w:val="00DE4DFE"/>
    <w:rsid w:val="00DF1C00"/>
    <w:rsid w:val="00E05AB3"/>
    <w:rsid w:val="00E275D2"/>
    <w:rsid w:val="00E34E07"/>
    <w:rsid w:val="00E75828"/>
    <w:rsid w:val="00E97C41"/>
    <w:rsid w:val="00EC21A5"/>
    <w:rsid w:val="00EC2499"/>
    <w:rsid w:val="00ED0475"/>
    <w:rsid w:val="00EE1539"/>
    <w:rsid w:val="00EE6428"/>
    <w:rsid w:val="00F10364"/>
    <w:rsid w:val="00F22D03"/>
    <w:rsid w:val="00F3488D"/>
    <w:rsid w:val="00F550C2"/>
    <w:rsid w:val="00F66E51"/>
    <w:rsid w:val="00F747DD"/>
    <w:rsid w:val="00F82F7C"/>
    <w:rsid w:val="00F96D8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E0F8D83-67CC-4C73-B093-60DFC8BE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CAC"/>
  </w:style>
  <w:style w:type="paragraph" w:styleId="Footer">
    <w:name w:val="footer"/>
    <w:basedOn w:val="Normal"/>
    <w:link w:val="FooterChar"/>
    <w:uiPriority w:val="99"/>
    <w:unhideWhenUsed/>
    <w:rsid w:val="00036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CAC"/>
  </w:style>
  <w:style w:type="paragraph" w:styleId="ListParagraph">
    <w:name w:val="List Paragraph"/>
    <w:basedOn w:val="Normal"/>
    <w:uiPriority w:val="34"/>
    <w:qFormat/>
    <w:rsid w:val="00036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2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54B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B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B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972B0-44AA-4EDF-8024-9E592028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4</Pages>
  <Words>574</Words>
  <Characters>3278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Theron King</dc:creator>
  <cp:keywords/>
  <dc:description/>
  <cp:lastModifiedBy>Jodi McAlary</cp:lastModifiedBy>
  <cp:revision>5</cp:revision>
  <cp:lastPrinted>2016-11-24T23:10:00Z</cp:lastPrinted>
  <dcterms:created xsi:type="dcterms:W3CDTF">2017-02-14T05:33:00Z</dcterms:created>
  <dcterms:modified xsi:type="dcterms:W3CDTF">2017-02-27T00:23:00Z</dcterms:modified>
</cp:coreProperties>
</file>