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E3A" w:rsidRPr="00DC14F5" w:rsidRDefault="00150E3A" w:rsidP="00DC14F5">
      <w:pPr>
        <w:pStyle w:val="ScheduleHeading"/>
        <w:spacing w:before="0" w:after="240"/>
        <w:ind w:right="261"/>
        <w:contextualSpacing/>
        <w:jc w:val="center"/>
        <w:rPr>
          <w:rFonts w:asciiTheme="minorHAnsi" w:hAnsiTheme="minorHAnsi" w:cstheme="minorHAnsi"/>
          <w:color w:val="003399"/>
          <w:sz w:val="44"/>
          <w:szCs w:val="44"/>
        </w:rPr>
      </w:pPr>
      <w:r w:rsidRPr="00DC14F5">
        <w:rPr>
          <w:rFonts w:asciiTheme="minorHAnsi" w:hAnsiTheme="minorHAnsi" w:cstheme="minorHAnsi"/>
          <w:color w:val="003399"/>
          <w:sz w:val="44"/>
          <w:szCs w:val="44"/>
        </w:rPr>
        <w:t>Commonwealth of Australia</w:t>
      </w:r>
    </w:p>
    <w:p w:rsidR="00150E3A" w:rsidRPr="00DC14F5" w:rsidRDefault="00150E3A" w:rsidP="00DC14F5">
      <w:pPr>
        <w:pStyle w:val="ScheduleHeading"/>
        <w:spacing w:before="240"/>
        <w:ind w:left="0" w:right="261" w:firstLine="0"/>
        <w:contextualSpacing/>
        <w:jc w:val="center"/>
        <w:rPr>
          <w:rFonts w:asciiTheme="minorHAnsi" w:hAnsiTheme="minorHAnsi" w:cstheme="minorHAnsi"/>
          <w:i/>
          <w:color w:val="003399"/>
          <w:sz w:val="44"/>
          <w:szCs w:val="44"/>
        </w:rPr>
      </w:pPr>
      <w:r w:rsidRPr="00DC14F5">
        <w:rPr>
          <w:rFonts w:asciiTheme="minorHAnsi" w:hAnsiTheme="minorHAnsi" w:cstheme="minorHAnsi"/>
          <w:i/>
          <w:color w:val="003399"/>
          <w:sz w:val="44"/>
          <w:szCs w:val="44"/>
        </w:rPr>
        <w:t>Copyright Act 1968</w:t>
      </w:r>
    </w:p>
    <w:p w:rsidR="00DC14F5" w:rsidRDefault="00DC14F5" w:rsidP="00DC14F5">
      <w:pPr>
        <w:pStyle w:val="ScheduleHeading"/>
        <w:spacing w:before="0"/>
        <w:ind w:left="0" w:right="261" w:firstLine="0"/>
        <w:contextualSpacing/>
        <w:jc w:val="center"/>
        <w:rPr>
          <w:rFonts w:asciiTheme="minorHAnsi" w:hAnsiTheme="minorHAnsi" w:cstheme="minorHAnsi"/>
          <w:bCs/>
          <w:sz w:val="40"/>
          <w:szCs w:val="40"/>
        </w:rPr>
      </w:pPr>
    </w:p>
    <w:p w:rsidR="0008259D" w:rsidRPr="00DC14F5" w:rsidRDefault="0008259D" w:rsidP="00DC14F5">
      <w:pPr>
        <w:pStyle w:val="ScheduleHeading"/>
        <w:spacing w:before="0"/>
        <w:ind w:left="0" w:right="261" w:firstLine="0"/>
        <w:contextualSpacing/>
        <w:jc w:val="center"/>
        <w:rPr>
          <w:rFonts w:asciiTheme="minorHAnsi" w:hAnsiTheme="minorHAnsi" w:cstheme="minorHAnsi"/>
          <w:bCs/>
          <w:sz w:val="40"/>
          <w:szCs w:val="40"/>
        </w:rPr>
      </w:pPr>
      <w:r w:rsidRPr="00DC14F5">
        <w:rPr>
          <w:rFonts w:asciiTheme="minorHAnsi" w:hAnsiTheme="minorHAnsi" w:cstheme="minorHAnsi"/>
          <w:bCs/>
          <w:sz w:val="40"/>
          <w:szCs w:val="40"/>
        </w:rPr>
        <w:t>Notice about the reproduction of works and the copying of published editions and audio</w:t>
      </w:r>
      <w:r w:rsidRPr="00DC14F5">
        <w:rPr>
          <w:rFonts w:asciiTheme="minorHAnsi" w:hAnsiTheme="minorHAnsi" w:cstheme="minorHAnsi"/>
          <w:bCs/>
          <w:sz w:val="40"/>
          <w:szCs w:val="40"/>
        </w:rPr>
        <w:noBreakHyphen/>
        <w:t>visual items</w:t>
      </w:r>
    </w:p>
    <w:p w:rsidR="0008259D" w:rsidRPr="00DC14F5" w:rsidRDefault="0008259D" w:rsidP="00DC14F5">
      <w:pPr>
        <w:pStyle w:val="ScheduleHeading"/>
        <w:spacing w:before="240" w:after="120"/>
        <w:ind w:left="0" w:right="261" w:firstLine="0"/>
        <w:jc w:val="center"/>
        <w:rPr>
          <w:rFonts w:asciiTheme="minorHAnsi" w:hAnsiTheme="minorHAnsi" w:cstheme="minorHAnsi"/>
          <w:sz w:val="40"/>
          <w:szCs w:val="40"/>
        </w:rPr>
      </w:pPr>
      <w:bookmarkStart w:id="0" w:name="_GoBack"/>
      <w:bookmarkEnd w:id="0"/>
      <w:r w:rsidRPr="00DC14F5">
        <w:rPr>
          <w:rFonts w:asciiTheme="minorHAnsi" w:hAnsiTheme="minorHAnsi" w:cstheme="minorHAnsi"/>
          <w:sz w:val="40"/>
          <w:szCs w:val="40"/>
        </w:rPr>
        <w:t>WARNING</w:t>
      </w:r>
    </w:p>
    <w:p w:rsidR="00DC14F5" w:rsidRPr="00DC14F5" w:rsidRDefault="00DC14F5" w:rsidP="00DC14F5">
      <w:pPr>
        <w:tabs>
          <w:tab w:val="left" w:pos="3130"/>
        </w:tabs>
        <w:spacing w:after="0"/>
        <w:ind w:right="261"/>
        <w:contextualSpacing/>
        <w:rPr>
          <w:rFonts w:asciiTheme="minorHAnsi" w:eastAsia="Times New Roman" w:hAnsiTheme="minorHAnsi" w:cstheme="minorHAnsi"/>
          <w:sz w:val="32"/>
          <w:szCs w:val="32"/>
        </w:rPr>
      </w:pPr>
    </w:p>
    <w:p w:rsidR="00DC14F5" w:rsidRPr="00AC45F0" w:rsidRDefault="00DC14F5" w:rsidP="00DC14F5">
      <w:pPr>
        <w:tabs>
          <w:tab w:val="left" w:pos="3130"/>
        </w:tabs>
        <w:spacing w:after="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Copyright owners are entitled to take legal action against persons who infringe their copyright. A court may impose penalties and award damages in relation to offences and infringements relating to copyright material. Higher penalties may apply, and higher damages may be awarded, for offences and infringements involving the conversion of material into digital or electronic form. </w:t>
      </w:r>
    </w:p>
    <w:p w:rsidR="00DC14F5" w:rsidRPr="00AC45F0" w:rsidRDefault="00DC14F5" w:rsidP="00DC14F5">
      <w:pPr>
        <w:tabs>
          <w:tab w:val="left" w:pos="3130"/>
        </w:tabs>
        <w:spacing w:after="0" w:line="240" w:lineRule="auto"/>
        <w:ind w:right="261"/>
        <w:jc w:val="both"/>
        <w:rPr>
          <w:rFonts w:asciiTheme="minorHAnsi" w:eastAsia="Times New Roman" w:hAnsiTheme="minorHAnsi" w:cstheme="minorHAnsi"/>
          <w:b/>
          <w:bCs/>
          <w:sz w:val="26"/>
          <w:szCs w:val="26"/>
        </w:rPr>
      </w:pPr>
    </w:p>
    <w:p w:rsidR="00DC14F5" w:rsidRPr="00AC45F0" w:rsidRDefault="00DC14F5" w:rsidP="00DC14F5">
      <w:pPr>
        <w:tabs>
          <w:tab w:val="left" w:pos="3130"/>
        </w:tabs>
        <w:spacing w:after="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b/>
          <w:bCs/>
          <w:sz w:val="26"/>
          <w:szCs w:val="26"/>
        </w:rPr>
        <w:t xml:space="preserve">Reproduction of works and copying of published editions </w:t>
      </w:r>
    </w:p>
    <w:p w:rsidR="00DC14F5" w:rsidRPr="00AC45F0" w:rsidRDefault="00DC14F5" w:rsidP="00DC14F5">
      <w:p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A reproduction of material that is protected by copyright may be a copyright infringement. Certain dealings with copyright will not constitute an infringement, including: </w:t>
      </w:r>
    </w:p>
    <w:p w:rsidR="00DC14F5" w:rsidRPr="00AC45F0" w:rsidRDefault="00DC14F5" w:rsidP="00DC14F5">
      <w:pPr>
        <w:pStyle w:val="ListParagraph"/>
        <w:numPr>
          <w:ilvl w:val="0"/>
          <w:numId w:val="1"/>
        </w:num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a reproduction that is a fair dealing under the </w:t>
      </w:r>
      <w:r w:rsidRPr="00AC45F0">
        <w:rPr>
          <w:rFonts w:asciiTheme="minorHAnsi" w:eastAsia="Times New Roman" w:hAnsiTheme="minorHAnsi" w:cstheme="minorHAnsi"/>
          <w:i/>
          <w:iCs/>
          <w:sz w:val="26"/>
          <w:szCs w:val="26"/>
        </w:rPr>
        <w:t xml:space="preserve">Copyright Act 1968 </w:t>
      </w:r>
      <w:r w:rsidRPr="00AC45F0">
        <w:rPr>
          <w:rFonts w:asciiTheme="minorHAnsi" w:eastAsia="Times New Roman" w:hAnsiTheme="minorHAnsi" w:cstheme="minorHAnsi"/>
          <w:sz w:val="26"/>
          <w:szCs w:val="26"/>
        </w:rPr>
        <w:t xml:space="preserve">(the </w:t>
      </w:r>
      <w:r w:rsidRPr="00AC45F0">
        <w:rPr>
          <w:rFonts w:asciiTheme="minorHAnsi" w:eastAsia="Times New Roman" w:hAnsiTheme="minorHAnsi" w:cstheme="minorHAnsi"/>
          <w:b/>
          <w:bCs/>
          <w:i/>
          <w:iCs/>
          <w:sz w:val="26"/>
          <w:szCs w:val="26"/>
        </w:rPr>
        <w:t>Act</w:t>
      </w:r>
      <w:r w:rsidRPr="00AC45F0">
        <w:rPr>
          <w:rFonts w:asciiTheme="minorHAnsi" w:eastAsia="Times New Roman" w:hAnsiTheme="minorHAnsi" w:cstheme="minorHAnsi"/>
          <w:sz w:val="26"/>
          <w:szCs w:val="26"/>
        </w:rPr>
        <w:t xml:space="preserve">), including a fair dealing for the purposes of research or study; or </w:t>
      </w:r>
    </w:p>
    <w:p w:rsidR="00DC14F5" w:rsidRPr="00AC45F0" w:rsidRDefault="00DC14F5" w:rsidP="00DC14F5">
      <w:pPr>
        <w:pStyle w:val="ListParagraph"/>
        <w:numPr>
          <w:ilvl w:val="0"/>
          <w:numId w:val="1"/>
        </w:num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a reproduction that is authorised by the copyright owner. </w:t>
      </w:r>
    </w:p>
    <w:p w:rsidR="00DC14F5" w:rsidRPr="00AC45F0" w:rsidRDefault="00DC14F5" w:rsidP="00DC14F5">
      <w:p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It is a fair dealing to make a reproduction for research or study, of one or more articles in a periodical publication for the same research or same course of study or, for any other work, of a reasonable portion of a work. </w:t>
      </w:r>
    </w:p>
    <w:p w:rsidR="00DC14F5" w:rsidRPr="00AC45F0" w:rsidRDefault="00DC14F5" w:rsidP="00DC14F5">
      <w:p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For a published work in hardcopy form that is not less than 10 pages and is not an artistic work, 10% of the number of pages, or one chapter, is a reasonable portion. </w:t>
      </w:r>
    </w:p>
    <w:p w:rsidR="00DC14F5" w:rsidRPr="00AC45F0" w:rsidRDefault="00DC14F5" w:rsidP="00DC14F5">
      <w:p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For a published work in electronic form only, a reasonable portion is not more than, in the aggregate, 10% of the number of words in the work. </w:t>
      </w:r>
    </w:p>
    <w:p w:rsidR="00DC14F5" w:rsidRPr="00AC45F0" w:rsidRDefault="00DC14F5" w:rsidP="00DC14F5">
      <w:p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More extensive reproduction may constitute fair dealing. To determine whether it does, it is necessary to have regard to the criteria set out in subsection 40(2) of the Act. </w:t>
      </w:r>
    </w:p>
    <w:p w:rsidR="00DC14F5" w:rsidRPr="00AC45F0" w:rsidRDefault="00DC14F5" w:rsidP="00DC14F5">
      <w:pPr>
        <w:tabs>
          <w:tab w:val="left" w:pos="3130"/>
        </w:tabs>
        <w:spacing w:after="0" w:line="240" w:lineRule="auto"/>
        <w:ind w:right="261"/>
        <w:jc w:val="both"/>
        <w:rPr>
          <w:rFonts w:asciiTheme="minorHAnsi" w:eastAsia="Times New Roman" w:hAnsiTheme="minorHAnsi" w:cstheme="minorHAnsi"/>
          <w:b/>
          <w:bCs/>
          <w:sz w:val="26"/>
          <w:szCs w:val="26"/>
        </w:rPr>
      </w:pPr>
    </w:p>
    <w:p w:rsidR="00DC14F5" w:rsidRPr="00AC45F0" w:rsidRDefault="00DC14F5" w:rsidP="00DC14F5">
      <w:pPr>
        <w:tabs>
          <w:tab w:val="left" w:pos="3130"/>
        </w:tabs>
        <w:spacing w:after="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b/>
          <w:bCs/>
          <w:sz w:val="26"/>
          <w:szCs w:val="26"/>
        </w:rPr>
        <w:t xml:space="preserve">Copying of audio-visual items </w:t>
      </w:r>
    </w:p>
    <w:p w:rsidR="00DC14F5" w:rsidRPr="00AC45F0" w:rsidRDefault="00DC14F5" w:rsidP="00DC14F5">
      <w:p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Unless otherwise permitted by the Act, unauthorised use of audio-visual items in which copyright subsists may infringe copyright in that item. </w:t>
      </w:r>
    </w:p>
    <w:p w:rsidR="00DC14F5" w:rsidRPr="00AC45F0" w:rsidRDefault="00DC14F5" w:rsidP="00DC14F5">
      <w:p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It is not an infringement of copyright in an audio-visual item to use that item in a manner that is a fair dealing under section 103C of the Act. </w:t>
      </w:r>
    </w:p>
    <w:p w:rsidR="00150E3A" w:rsidRPr="00AC45F0" w:rsidRDefault="00DC14F5" w:rsidP="00AC45F0">
      <w:pPr>
        <w:tabs>
          <w:tab w:val="left" w:pos="3130"/>
        </w:tabs>
        <w:spacing w:after="120" w:line="240" w:lineRule="auto"/>
        <w:ind w:right="261"/>
        <w:jc w:val="both"/>
        <w:rPr>
          <w:rFonts w:asciiTheme="minorHAnsi" w:eastAsia="Times New Roman" w:hAnsiTheme="minorHAnsi" w:cstheme="minorHAnsi"/>
          <w:sz w:val="26"/>
          <w:szCs w:val="26"/>
        </w:rPr>
      </w:pPr>
      <w:r w:rsidRPr="00AC45F0">
        <w:rPr>
          <w:rFonts w:asciiTheme="minorHAnsi" w:eastAsia="Times New Roman" w:hAnsiTheme="minorHAnsi" w:cstheme="minorHAnsi"/>
          <w:sz w:val="26"/>
          <w:szCs w:val="26"/>
        </w:rPr>
        <w:t xml:space="preserve">Section 103C of the Act relates to fair dealing for the purpose of research or study and sets out the matters that must be considered in determining whether a reproduction of an audio-visual item is a fair dealing. </w:t>
      </w:r>
    </w:p>
    <w:sectPr w:rsidR="00150E3A" w:rsidRPr="00AC45F0" w:rsidSect="005A4201">
      <w:footerReference w:type="default" r:id="rId8"/>
      <w:pgSz w:w="11906" w:h="16838"/>
      <w:pgMar w:top="720" w:right="851" w:bottom="720" w:left="85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C30" w:rsidRDefault="003B2C30" w:rsidP="003B2C30">
      <w:pPr>
        <w:spacing w:after="0" w:line="240" w:lineRule="auto"/>
      </w:pPr>
      <w:r>
        <w:separator/>
      </w:r>
    </w:p>
  </w:endnote>
  <w:endnote w:type="continuationSeparator" w:id="0">
    <w:p w:rsidR="003B2C30" w:rsidRDefault="003B2C30" w:rsidP="003B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4F5" w:rsidRPr="00AC45F0" w:rsidRDefault="00DC14F5" w:rsidP="00DC14F5">
    <w:pPr>
      <w:pStyle w:val="Footer"/>
      <w:rPr>
        <w:rFonts w:ascii="Arial" w:hAnsi="Arial" w:cs="Arial"/>
        <w:sz w:val="20"/>
        <w:szCs w:val="20"/>
      </w:rPr>
    </w:pPr>
    <w:bookmarkStart w:id="1" w:name="_Toc534882506"/>
    <w:r w:rsidRPr="00AC45F0">
      <w:rPr>
        <w:rFonts w:ascii="Arial" w:hAnsi="Arial" w:cs="Arial"/>
        <w:sz w:val="20"/>
        <w:szCs w:val="20"/>
      </w:rPr>
      <w:t>Text of notice near machine for copying works, published editions or audio-visual items</w:t>
    </w:r>
    <w:bookmarkEnd w:id="1"/>
    <w:r w:rsidRPr="00AC45F0">
      <w:rPr>
        <w:rFonts w:ascii="Arial" w:hAnsi="Arial" w:cs="Arial"/>
        <w:sz w:val="20"/>
        <w:szCs w:val="20"/>
      </w:rPr>
      <w:t xml:space="preserve">. </w:t>
    </w:r>
    <w:r w:rsidRPr="00AC45F0">
      <w:rPr>
        <w:rFonts w:ascii="Arial" w:hAnsi="Arial" w:cs="Arial"/>
        <w:sz w:val="20"/>
        <w:szCs w:val="20"/>
      </w:rPr>
      <w:t xml:space="preserve">For more information </w:t>
    </w:r>
    <w:hyperlink r:id="rId1" w:history="1">
      <w:r w:rsidRPr="00AC45F0">
        <w:rPr>
          <w:rStyle w:val="Hyperlink"/>
          <w:rFonts w:ascii="Arial" w:hAnsi="Arial" w:cs="Arial"/>
          <w:sz w:val="20"/>
          <w:szCs w:val="20"/>
        </w:rPr>
        <w:t>https://www.une.edu.au/copyright/copyright-services/forms-and-notices</w:t>
      </w:r>
    </w:hyperlink>
    <w:r w:rsidRPr="00AC45F0">
      <w:rPr>
        <w:rFonts w:ascii="Arial" w:hAnsi="Arial" w:cs="Arial"/>
        <w:sz w:val="20"/>
        <w:szCs w:val="20"/>
      </w:rPr>
      <w:t xml:space="preserve">. </w:t>
    </w:r>
  </w:p>
  <w:p w:rsidR="00DC14F5" w:rsidRPr="00AC45F0" w:rsidRDefault="00DC14F5" w:rsidP="00DC14F5">
    <w:pPr>
      <w:pStyle w:val="Footer"/>
      <w:spacing w:before="120"/>
      <w:rPr>
        <w:rFonts w:ascii="Arial" w:hAnsi="Arial" w:cs="Arial"/>
        <w:sz w:val="20"/>
        <w:szCs w:val="20"/>
      </w:rPr>
    </w:pPr>
    <w:r w:rsidRPr="00AC45F0">
      <w:rPr>
        <w:rFonts w:ascii="Arial" w:hAnsi="Arial" w:cs="Arial"/>
        <w:sz w:val="20"/>
        <w:szCs w:val="20"/>
      </w:rPr>
      <w:t>Last reviewed: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C30" w:rsidRDefault="003B2C30" w:rsidP="003B2C30">
      <w:pPr>
        <w:spacing w:after="0" w:line="240" w:lineRule="auto"/>
      </w:pPr>
      <w:r>
        <w:separator/>
      </w:r>
    </w:p>
  </w:footnote>
  <w:footnote w:type="continuationSeparator" w:id="0">
    <w:p w:rsidR="003B2C30" w:rsidRDefault="003B2C30" w:rsidP="003B2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A0B"/>
    <w:multiLevelType w:val="hybridMultilevel"/>
    <w:tmpl w:val="BCE4E9B0"/>
    <w:lvl w:ilvl="0" w:tplc="06E61E88">
      <w:start w:val="1"/>
      <w:numFmt w:val="lowerLetter"/>
      <w:lvlText w:val="(%1)"/>
      <w:lvlJc w:val="left"/>
      <w:pPr>
        <w:ind w:left="1176" w:hanging="81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B9559F6"/>
    <w:multiLevelType w:val="hybridMultilevel"/>
    <w:tmpl w:val="4B5A0CD6"/>
    <w:lvl w:ilvl="0" w:tplc="9D5A10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9D"/>
    <w:rsid w:val="0008259D"/>
    <w:rsid w:val="00102A92"/>
    <w:rsid w:val="00150E3A"/>
    <w:rsid w:val="003B2C30"/>
    <w:rsid w:val="004662A4"/>
    <w:rsid w:val="005A4201"/>
    <w:rsid w:val="00924FAA"/>
    <w:rsid w:val="00AC45F0"/>
    <w:rsid w:val="00DC1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459AF"/>
  <w15:chartTrackingRefBased/>
  <w15:docId w15:val="{68F940FF-A0F2-40CB-BF69-CF924B7A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59D"/>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Heading">
    <w:name w:val="Schedule Heading"/>
    <w:basedOn w:val="Normal"/>
    <w:next w:val="Normal"/>
    <w:uiPriority w:val="99"/>
    <w:rsid w:val="0008259D"/>
    <w:pPr>
      <w:keepNext/>
      <w:keepLines/>
      <w:spacing w:before="360" w:after="0" w:line="240" w:lineRule="auto"/>
      <w:ind w:left="964" w:hanging="964"/>
    </w:pPr>
    <w:rPr>
      <w:rFonts w:ascii="Arial" w:eastAsia="Times New Roman" w:hAnsi="Arial"/>
      <w:b/>
      <w:sz w:val="24"/>
      <w:szCs w:val="24"/>
    </w:rPr>
  </w:style>
  <w:style w:type="paragraph" w:customStyle="1" w:styleId="Schedulepara">
    <w:name w:val="Schedule para"/>
    <w:basedOn w:val="Normal"/>
    <w:uiPriority w:val="99"/>
    <w:rsid w:val="0008259D"/>
    <w:pPr>
      <w:tabs>
        <w:tab w:val="right" w:pos="567"/>
      </w:tabs>
      <w:spacing w:before="180" w:after="0" w:line="260" w:lineRule="exact"/>
      <w:ind w:left="964" w:hanging="964"/>
      <w:jc w:val="both"/>
    </w:pPr>
    <w:rPr>
      <w:rFonts w:ascii="Times New Roman" w:eastAsia="Times New Roman" w:hAnsi="Times New Roman"/>
      <w:sz w:val="24"/>
      <w:szCs w:val="24"/>
    </w:rPr>
  </w:style>
  <w:style w:type="paragraph" w:styleId="Header">
    <w:name w:val="header"/>
    <w:basedOn w:val="Normal"/>
    <w:link w:val="HeaderChar"/>
    <w:uiPriority w:val="99"/>
    <w:unhideWhenUsed/>
    <w:rsid w:val="003B2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C30"/>
    <w:rPr>
      <w:rFonts w:ascii="Calibri" w:eastAsia="Calibri" w:hAnsi="Calibri" w:cs="Times New Roman"/>
    </w:rPr>
  </w:style>
  <w:style w:type="paragraph" w:styleId="Footer">
    <w:name w:val="footer"/>
    <w:basedOn w:val="Normal"/>
    <w:link w:val="FooterChar"/>
    <w:uiPriority w:val="99"/>
    <w:unhideWhenUsed/>
    <w:rsid w:val="003B2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C30"/>
    <w:rPr>
      <w:rFonts w:ascii="Calibri" w:eastAsia="Calibri" w:hAnsi="Calibri" w:cs="Times New Roman"/>
    </w:rPr>
  </w:style>
  <w:style w:type="character" w:styleId="Hyperlink">
    <w:name w:val="Hyperlink"/>
    <w:basedOn w:val="DefaultParagraphFont"/>
    <w:uiPriority w:val="99"/>
    <w:rsid w:val="00DC14F5"/>
    <w:rPr>
      <w:rFonts w:cs="Times New Roman"/>
      <w:color w:val="0000FF"/>
      <w:u w:val="single"/>
    </w:rPr>
  </w:style>
  <w:style w:type="character" w:styleId="UnresolvedMention">
    <w:name w:val="Unresolved Mention"/>
    <w:basedOn w:val="DefaultParagraphFont"/>
    <w:uiPriority w:val="99"/>
    <w:semiHidden/>
    <w:unhideWhenUsed/>
    <w:rsid w:val="00DC14F5"/>
    <w:rPr>
      <w:color w:val="605E5C"/>
      <w:shd w:val="clear" w:color="auto" w:fill="E1DFDD"/>
    </w:rPr>
  </w:style>
  <w:style w:type="paragraph" w:styleId="ListParagraph">
    <w:name w:val="List Paragraph"/>
    <w:basedOn w:val="Normal"/>
    <w:uiPriority w:val="34"/>
    <w:qFormat/>
    <w:rsid w:val="00DC1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30376">
      <w:bodyDiv w:val="1"/>
      <w:marLeft w:val="0"/>
      <w:marRight w:val="0"/>
      <w:marTop w:val="0"/>
      <w:marBottom w:val="0"/>
      <w:divBdr>
        <w:top w:val="none" w:sz="0" w:space="0" w:color="auto"/>
        <w:left w:val="none" w:sz="0" w:space="0" w:color="auto"/>
        <w:bottom w:val="none" w:sz="0" w:space="0" w:color="auto"/>
        <w:right w:val="none" w:sz="0" w:space="0" w:color="auto"/>
      </w:divBdr>
    </w:div>
    <w:div w:id="21414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une.edu.au/copyright/copyright-services/forms-and-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6699D82-3228-409A-B23E-52A60BA561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Scott</dc:creator>
  <cp:keywords/>
  <dc:description/>
  <cp:lastModifiedBy>Loretta Schelbach Khanna</cp:lastModifiedBy>
  <cp:revision>4</cp:revision>
  <dcterms:created xsi:type="dcterms:W3CDTF">2022-12-19T00:17:00Z</dcterms:created>
  <dcterms:modified xsi:type="dcterms:W3CDTF">2022-12-19T00:18:00Z</dcterms:modified>
</cp:coreProperties>
</file>