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E9E" w:rsidRPr="00596E31" w:rsidRDefault="001A592C" w:rsidP="00596E31">
      <w:pPr>
        <w:spacing w:after="0" w:line="240" w:lineRule="auto"/>
        <w:jc w:val="center"/>
        <w:rPr>
          <w:rFonts w:ascii="Lucida Sans" w:eastAsia="Times New Roman" w:hAnsi="Lucida Sans" w:cstheme="minorHAnsi"/>
          <w:sz w:val="48"/>
          <w:szCs w:val="48"/>
          <w:lang w:val="en-AU"/>
        </w:rPr>
      </w:pPr>
      <w:r w:rsidRPr="00D47DA0">
        <w:rPr>
          <w:rFonts w:ascii="Lucida Sans" w:hAnsi="Lucida Sans"/>
          <w:noProof/>
          <w:lang w:val="en-AU" w:eastAsia="en-AU"/>
        </w:rPr>
        <w:drawing>
          <wp:anchor distT="0" distB="0" distL="114300" distR="114300" simplePos="0" relativeHeight="251658240" behindDoc="0" locked="0" layoutInCell="1" allowOverlap="1" wp14:anchorId="7D2602E4" wp14:editId="3649DCCA">
            <wp:simplePos x="0" y="0"/>
            <wp:positionH relativeFrom="column">
              <wp:posOffset>1061085</wp:posOffset>
            </wp:positionH>
            <wp:positionV relativeFrom="paragraph">
              <wp:posOffset>1905</wp:posOffset>
            </wp:positionV>
            <wp:extent cx="3990975" cy="228727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OF LAW LOGO LOCKUP SHORT HORIZONT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0975" cy="2287270"/>
                    </a:xfrm>
                    <a:prstGeom prst="rect">
                      <a:avLst/>
                    </a:prstGeom>
                  </pic:spPr>
                </pic:pic>
              </a:graphicData>
            </a:graphic>
            <wp14:sizeRelH relativeFrom="page">
              <wp14:pctWidth>0</wp14:pctWidth>
            </wp14:sizeRelH>
            <wp14:sizeRelV relativeFrom="page">
              <wp14:pctHeight>0</wp14:pctHeight>
            </wp14:sizeRelV>
          </wp:anchor>
        </w:drawing>
      </w:r>
      <w:r w:rsidR="00915D75">
        <w:rPr>
          <w:rFonts w:ascii="Lucida Sans" w:eastAsia="Times New Roman" w:hAnsi="Lucida Sans" w:cstheme="minorHAnsi"/>
          <w:sz w:val="48"/>
          <w:szCs w:val="48"/>
          <w:lang w:val="en-AU"/>
        </w:rPr>
        <w:t>Bachelor of Laws (3 Years</w:t>
      </w:r>
      <w:r w:rsidR="005A4E9E" w:rsidRPr="00596E31">
        <w:rPr>
          <w:rFonts w:ascii="Lucida Sans" w:eastAsia="Times New Roman" w:hAnsi="Lucida Sans" w:cstheme="minorHAnsi"/>
          <w:sz w:val="48"/>
          <w:szCs w:val="48"/>
          <w:lang w:val="en-AU"/>
        </w:rPr>
        <w:t>)</w:t>
      </w:r>
    </w:p>
    <w:p w:rsidR="005A4E9E" w:rsidRPr="001A592C" w:rsidRDefault="005A4E9E" w:rsidP="00596E31">
      <w:pPr>
        <w:spacing w:after="0" w:line="240" w:lineRule="auto"/>
        <w:jc w:val="center"/>
        <w:rPr>
          <w:rFonts w:ascii="Lucida Sans" w:eastAsia="Times New Roman" w:hAnsi="Lucida Sans" w:cstheme="minorHAnsi"/>
          <w:lang w:val="en-AU"/>
        </w:rPr>
      </w:pPr>
      <w:r w:rsidRPr="001A592C">
        <w:rPr>
          <w:rFonts w:ascii="Lucida Sans" w:eastAsia="Times New Roman" w:hAnsi="Lucida Sans" w:cstheme="minorHAnsi"/>
          <w:lang w:val="en-AU"/>
        </w:rPr>
        <w:t>CRICOS Code:</w:t>
      </w:r>
      <w:r w:rsidR="00BC2EA8" w:rsidRPr="001A592C">
        <w:rPr>
          <w:rFonts w:ascii="Lucida Sans" w:eastAsia="Times New Roman" w:hAnsi="Lucida Sans" w:cstheme="minorHAnsi"/>
          <w:lang w:val="en-AU"/>
        </w:rPr>
        <w:t xml:space="preserve"> </w:t>
      </w:r>
      <w:r w:rsidR="00915D75" w:rsidRPr="00915D75">
        <w:rPr>
          <w:rFonts w:ascii="Lucida Sans" w:eastAsia="Times New Roman" w:hAnsi="Lucida Sans" w:cstheme="minorHAnsi"/>
          <w:lang w:val="en-AU"/>
        </w:rPr>
        <w:t>016049G</w:t>
      </w:r>
    </w:p>
    <w:p w:rsidR="001A592C" w:rsidRDefault="001A592C" w:rsidP="00596E31">
      <w:pPr>
        <w:spacing w:after="0" w:line="240" w:lineRule="auto"/>
        <w:jc w:val="center"/>
        <w:rPr>
          <w:rFonts w:ascii="Lucida Sans" w:hAnsi="Lucida Sans"/>
          <w:b/>
          <w:sz w:val="28"/>
          <w:szCs w:val="28"/>
        </w:rPr>
      </w:pPr>
    </w:p>
    <w:p w:rsidR="005A4E9E" w:rsidRPr="001A592C" w:rsidRDefault="00632E97" w:rsidP="00596E31">
      <w:pPr>
        <w:spacing w:after="0" w:line="240" w:lineRule="auto"/>
        <w:jc w:val="center"/>
        <w:rPr>
          <w:rFonts w:ascii="Lucida Sans" w:hAnsi="Lucida Sans" w:cstheme="minorHAnsi"/>
          <w:b/>
          <w:sz w:val="28"/>
          <w:szCs w:val="28"/>
        </w:rPr>
      </w:pPr>
      <w:r>
        <w:rPr>
          <w:rFonts w:ascii="Lucida Sans" w:hAnsi="Lucida Sans"/>
          <w:b/>
          <w:sz w:val="28"/>
          <w:szCs w:val="28"/>
        </w:rPr>
        <w:t>2017</w:t>
      </w:r>
    </w:p>
    <w:p w:rsidR="00596E31" w:rsidRPr="00596E31" w:rsidRDefault="00596E31" w:rsidP="00596E31">
      <w:pPr>
        <w:spacing w:after="0" w:line="240" w:lineRule="auto"/>
        <w:rPr>
          <w:rFonts w:ascii="Lucida Sans" w:hAnsi="Lucida Sans" w:cs="Times New Roman"/>
          <w:color w:val="333333"/>
          <w:sz w:val="21"/>
          <w:szCs w:val="21"/>
          <w:lang w:val="en"/>
        </w:rPr>
      </w:pPr>
    </w:p>
    <w:p w:rsidR="001A592C" w:rsidRDefault="00915D75" w:rsidP="00596E31">
      <w:pPr>
        <w:spacing w:after="0" w:line="240" w:lineRule="auto"/>
        <w:rPr>
          <w:rFonts w:ascii="Lucida Sans" w:hAnsi="Lucida Sans" w:cs="Times New Roman"/>
          <w:color w:val="333333"/>
          <w:sz w:val="21"/>
          <w:szCs w:val="21"/>
          <w:lang w:val="en"/>
        </w:rPr>
      </w:pPr>
      <w:r w:rsidRPr="00D47DA0">
        <w:rPr>
          <w:rFonts w:ascii="Lucida Sans" w:hAnsi="Lucida Sans" w:cstheme="minorHAnsi"/>
          <w:noProof/>
          <w:sz w:val="32"/>
          <w:szCs w:val="32"/>
          <w:lang w:val="en-AU" w:eastAsia="en-AU"/>
        </w:rPr>
        <w:drawing>
          <wp:anchor distT="0" distB="0" distL="114300" distR="114300" simplePos="0" relativeHeight="251659264" behindDoc="0" locked="0" layoutInCell="1" allowOverlap="1" wp14:anchorId="154029BE" wp14:editId="598E2AF9">
            <wp:simplePos x="0" y="0"/>
            <wp:positionH relativeFrom="column">
              <wp:posOffset>-253365</wp:posOffset>
            </wp:positionH>
            <wp:positionV relativeFrom="paragraph">
              <wp:posOffset>295275</wp:posOffset>
            </wp:positionV>
            <wp:extent cx="6699501" cy="421957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l_Night_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99501" cy="4219575"/>
                    </a:xfrm>
                    <a:prstGeom prst="rect">
                      <a:avLst/>
                    </a:prstGeom>
                  </pic:spPr>
                </pic:pic>
              </a:graphicData>
            </a:graphic>
            <wp14:sizeRelH relativeFrom="page">
              <wp14:pctWidth>0</wp14:pctWidth>
            </wp14:sizeRelH>
            <wp14:sizeRelV relativeFrom="page">
              <wp14:pctHeight>0</wp14:pctHeight>
            </wp14:sizeRelV>
          </wp:anchor>
        </w:drawing>
      </w:r>
    </w:p>
    <w:p w:rsidR="00915D75" w:rsidRPr="00596E31" w:rsidRDefault="00915D75" w:rsidP="00596E31">
      <w:pPr>
        <w:spacing w:after="0" w:line="240" w:lineRule="auto"/>
        <w:rPr>
          <w:rFonts w:ascii="Lucida Sans" w:hAnsi="Lucida Sans" w:cs="Times New Roman"/>
          <w:color w:val="333333"/>
          <w:sz w:val="21"/>
          <w:szCs w:val="21"/>
          <w:lang w:val="en"/>
        </w:rPr>
      </w:pPr>
    </w:p>
    <w:p w:rsidR="00286F20" w:rsidRDefault="00286F20" w:rsidP="00286F20">
      <w:pPr>
        <w:contextualSpacing/>
        <w:jc w:val="center"/>
        <w:rPr>
          <w:rFonts w:ascii="Lucida Sans" w:hAnsi="Lucida Sans" w:cstheme="minorHAnsi"/>
          <w:sz w:val="32"/>
          <w:szCs w:val="32"/>
        </w:rPr>
      </w:pPr>
    </w:p>
    <w:p w:rsidR="00286F20" w:rsidRDefault="00286F20" w:rsidP="00286F20">
      <w:pPr>
        <w:contextualSpacing/>
        <w:jc w:val="center"/>
        <w:rPr>
          <w:rFonts w:ascii="Lucida Sans" w:hAnsi="Lucida Sans" w:cstheme="minorHAnsi"/>
          <w:sz w:val="32"/>
          <w:szCs w:val="32"/>
        </w:rPr>
      </w:pPr>
      <w:r>
        <w:rPr>
          <w:rFonts w:ascii="Lucida Sans" w:hAnsi="Lucida Sans" w:cstheme="minorHAnsi"/>
          <w:sz w:val="32"/>
          <w:szCs w:val="32"/>
        </w:rPr>
        <w:t>University of New England, Armidale, AUSTRALIA</w:t>
      </w:r>
    </w:p>
    <w:p w:rsidR="00CB1917" w:rsidRDefault="00286F20" w:rsidP="00286F20">
      <w:pPr>
        <w:jc w:val="center"/>
        <w:rPr>
          <w:rFonts w:ascii="Lucida Sans" w:hAnsi="Lucida Sans" w:cstheme="minorHAnsi"/>
          <w:color w:val="92D050"/>
          <w:sz w:val="21"/>
          <w:szCs w:val="21"/>
        </w:rPr>
      </w:pPr>
      <w:r>
        <w:rPr>
          <w:rFonts w:ascii="Lucida Sans" w:hAnsi="Lucida Sans" w:cstheme="minorHAnsi"/>
          <w:sz w:val="32"/>
          <w:szCs w:val="32"/>
        </w:rPr>
        <w:t>CRICOS Code: 00003G</w:t>
      </w:r>
      <w:r>
        <w:rPr>
          <w:rFonts w:ascii="Lucida Sans" w:hAnsi="Lucida Sans" w:cstheme="minorHAnsi"/>
          <w:color w:val="92D050"/>
          <w:sz w:val="21"/>
          <w:szCs w:val="21"/>
        </w:rPr>
        <w:t xml:space="preserve"> </w:t>
      </w:r>
    </w:p>
    <w:p w:rsidR="00CB1917" w:rsidRDefault="00CB1917" w:rsidP="00286F20">
      <w:pPr>
        <w:jc w:val="center"/>
        <w:rPr>
          <w:rFonts w:ascii="Lucida Sans" w:hAnsi="Lucida Sans" w:cstheme="minorHAnsi"/>
          <w:color w:val="92D050"/>
          <w:sz w:val="21"/>
          <w:szCs w:val="21"/>
        </w:rPr>
        <w:sectPr w:rsidR="00CB1917" w:rsidSect="00826F34">
          <w:footerReference w:type="default" r:id="rId10"/>
          <w:pgSz w:w="11907" w:h="16840" w:code="9"/>
          <w:pgMar w:top="1134" w:right="1134" w:bottom="568" w:left="1134" w:header="709" w:footer="709" w:gutter="0"/>
          <w:cols w:space="708"/>
          <w:docGrid w:linePitch="360"/>
        </w:sectPr>
      </w:pPr>
    </w:p>
    <w:p w:rsidR="00CE1008" w:rsidRPr="00F25690" w:rsidRDefault="00CE1008" w:rsidP="00676AAA">
      <w:pPr>
        <w:pStyle w:val="Heading2"/>
        <w:shd w:val="clear" w:color="auto" w:fill="FFFFFF"/>
        <w:tabs>
          <w:tab w:val="left" w:pos="1560"/>
          <w:tab w:val="left" w:pos="1985"/>
          <w:tab w:val="left" w:pos="2552"/>
        </w:tabs>
        <w:spacing w:before="0" w:after="120"/>
        <w:rPr>
          <w:rFonts w:ascii="Lucida Sans" w:hAnsi="Lucida Sans" w:cstheme="minorHAnsi"/>
          <w:color w:val="92D050"/>
          <w:sz w:val="22"/>
          <w:szCs w:val="22"/>
        </w:rPr>
      </w:pPr>
      <w:r w:rsidRPr="00F25690">
        <w:rPr>
          <w:rFonts w:ascii="Lucida Sans" w:hAnsi="Lucida Sans" w:cstheme="minorHAnsi"/>
          <w:color w:val="92D050"/>
          <w:sz w:val="22"/>
          <w:szCs w:val="22"/>
        </w:rPr>
        <w:lastRenderedPageBreak/>
        <w:t>Why study the Bachelor of Laws (3 Years) at UNE?</w:t>
      </w:r>
    </w:p>
    <w:p w:rsidR="00CC2EA9" w:rsidRPr="00CC2EA9" w:rsidRDefault="00CC2EA9" w:rsidP="00CC2EA9">
      <w:pPr>
        <w:pStyle w:val="NormalWeb"/>
        <w:spacing w:before="0" w:beforeAutospacing="0" w:after="120" w:afterAutospacing="0"/>
        <w:rPr>
          <w:rFonts w:ascii="Lucida Sans" w:hAnsi="Lucida Sans" w:cs="Times New Roman"/>
          <w:color w:val="000000"/>
          <w:sz w:val="20"/>
          <w:szCs w:val="20"/>
        </w:rPr>
      </w:pPr>
      <w:r w:rsidRPr="00CC2EA9">
        <w:rPr>
          <w:rFonts w:ascii="Lucida Sans" w:hAnsi="Lucida Sans" w:cs="Times New Roman"/>
          <w:color w:val="000000"/>
          <w:sz w:val="20"/>
          <w:szCs w:val="20"/>
        </w:rPr>
        <w:t>UNE boasts one of Australia's largest law schools outside a capital city, as well as being an early adopter of innovative technology in the delivery of its law programs. The Bachelor of Law (3 years) encourages both a critical and progressive approach to the existing law and legal system; ensuring that students understand both the law and the context.</w:t>
      </w:r>
    </w:p>
    <w:p w:rsidR="00CC2EA9" w:rsidRPr="00CC2EA9" w:rsidRDefault="00CC2EA9" w:rsidP="00CC2EA9">
      <w:pPr>
        <w:pStyle w:val="NormalWeb"/>
        <w:spacing w:before="0" w:beforeAutospacing="0" w:after="120" w:afterAutospacing="0"/>
        <w:rPr>
          <w:rFonts w:ascii="Lucida Sans" w:hAnsi="Lucida Sans" w:cs="Times New Roman"/>
          <w:color w:val="000000"/>
          <w:sz w:val="20"/>
          <w:szCs w:val="20"/>
        </w:rPr>
      </w:pPr>
      <w:r w:rsidRPr="00CC2EA9">
        <w:rPr>
          <w:rFonts w:ascii="Lucida Sans" w:hAnsi="Lucida Sans" w:cs="Times New Roman"/>
          <w:color w:val="000000"/>
          <w:sz w:val="20"/>
          <w:szCs w:val="20"/>
        </w:rPr>
        <w:t>The Bachelor of Laws is accredited by the Legal Practitioners Admission Board of NSW for admission as a legal practitioner in NSW and mutual recognition legislation extends admission to other Australian jurisdictions.</w:t>
      </w:r>
    </w:p>
    <w:p w:rsidR="00CC2EA9" w:rsidRPr="00CC2EA9" w:rsidRDefault="00CC2EA9" w:rsidP="00CC2EA9">
      <w:pPr>
        <w:pStyle w:val="NormalWeb"/>
        <w:spacing w:before="0" w:beforeAutospacing="0" w:after="120" w:afterAutospacing="0"/>
        <w:rPr>
          <w:rFonts w:ascii="Lucida Sans" w:hAnsi="Lucida Sans" w:cs="Times New Roman"/>
          <w:color w:val="000000"/>
          <w:sz w:val="20"/>
          <w:szCs w:val="20"/>
        </w:rPr>
      </w:pPr>
      <w:r w:rsidRPr="00CC2EA9">
        <w:rPr>
          <w:rFonts w:ascii="Lucida Sans" w:hAnsi="Lucida Sans" w:cs="Times New Roman"/>
          <w:color w:val="000000"/>
          <w:sz w:val="20"/>
          <w:szCs w:val="20"/>
        </w:rPr>
        <w:t>After completion of academic qualifications there are a range of employment options from which to choose. Graduates who wish to be admitted to practice as a solicitor, barrister or legal practitioner anywhere in Australia will also have to undertake a course of professional legal training (PLT). This can consist of approximately half a year's full-time training, undertaken internally or externally, or of equivalent part-time training. In some jurisdictions, it may be possible to do articles of clerkship instead. Because the system adopted varies from jurisdiction to jurisdiction, enquiries should be made to the admission authority in the state or territory in which you intend to practice; this is usually a committee of the Supreme Court of that State or Territory or a special body set up to administer admissions to the legal profession. Additional information can be found on the School of Law page.</w:t>
      </w:r>
    </w:p>
    <w:p w:rsidR="00CC2EA9" w:rsidRPr="00CC2EA9" w:rsidRDefault="00CC2EA9" w:rsidP="00CC2EA9">
      <w:pPr>
        <w:pStyle w:val="NormalWeb"/>
        <w:spacing w:before="0" w:beforeAutospacing="0" w:after="120" w:afterAutospacing="0"/>
        <w:rPr>
          <w:rFonts w:ascii="Lucida Sans" w:hAnsi="Lucida Sans" w:cs="Times New Roman"/>
          <w:color w:val="000000"/>
          <w:sz w:val="20"/>
          <w:szCs w:val="20"/>
        </w:rPr>
      </w:pPr>
      <w:r w:rsidRPr="00CC2EA9">
        <w:rPr>
          <w:rFonts w:ascii="Lucida Sans" w:hAnsi="Lucida Sans" w:cs="Times New Roman"/>
          <w:color w:val="000000"/>
          <w:sz w:val="20"/>
          <w:szCs w:val="20"/>
        </w:rPr>
        <w:t xml:space="preserve">To qualify for the award of the degree with </w:t>
      </w:r>
      <w:proofErr w:type="spellStart"/>
      <w:r w:rsidRPr="00CC2EA9">
        <w:rPr>
          <w:rFonts w:ascii="Lucida Sans" w:hAnsi="Lucida Sans" w:cs="Times New Roman"/>
          <w:color w:val="000000"/>
          <w:sz w:val="20"/>
          <w:szCs w:val="20"/>
        </w:rPr>
        <w:t>Honours</w:t>
      </w:r>
      <w:proofErr w:type="spellEnd"/>
      <w:r w:rsidRPr="00CC2EA9">
        <w:rPr>
          <w:rFonts w:ascii="Lucida Sans" w:hAnsi="Lucida Sans" w:cs="Times New Roman"/>
          <w:color w:val="000000"/>
          <w:sz w:val="20"/>
          <w:szCs w:val="20"/>
        </w:rPr>
        <w:t xml:space="preserve">, a graduate entry student must have successfully completed the </w:t>
      </w:r>
      <w:proofErr w:type="spellStart"/>
      <w:r w:rsidRPr="00CC2EA9">
        <w:rPr>
          <w:rFonts w:ascii="Lucida Sans" w:hAnsi="Lucida Sans" w:cs="Times New Roman"/>
          <w:color w:val="000000"/>
          <w:sz w:val="20"/>
          <w:szCs w:val="20"/>
        </w:rPr>
        <w:t>Honours</w:t>
      </w:r>
      <w:proofErr w:type="spellEnd"/>
      <w:r w:rsidRPr="00CC2EA9">
        <w:rPr>
          <w:rFonts w:ascii="Lucida Sans" w:hAnsi="Lucida Sans" w:cs="Times New Roman"/>
          <w:color w:val="000000"/>
          <w:sz w:val="20"/>
          <w:szCs w:val="20"/>
        </w:rPr>
        <w:t xml:space="preserve"> Pathway made up of LAW490 and LLM500. There are three levels of </w:t>
      </w:r>
      <w:proofErr w:type="spellStart"/>
      <w:r w:rsidRPr="00CC2EA9">
        <w:rPr>
          <w:rFonts w:ascii="Lucida Sans" w:hAnsi="Lucida Sans" w:cs="Times New Roman"/>
          <w:color w:val="000000"/>
          <w:sz w:val="20"/>
          <w:szCs w:val="20"/>
        </w:rPr>
        <w:t>Honours</w:t>
      </w:r>
      <w:proofErr w:type="spellEnd"/>
      <w:r w:rsidRPr="00CC2EA9">
        <w:rPr>
          <w:rFonts w:ascii="Lucida Sans" w:hAnsi="Lucida Sans" w:cs="Times New Roman"/>
          <w:color w:val="000000"/>
          <w:sz w:val="20"/>
          <w:szCs w:val="20"/>
        </w:rPr>
        <w:t xml:space="preserve">: First Class </w:t>
      </w:r>
      <w:proofErr w:type="spellStart"/>
      <w:r w:rsidRPr="00CC2EA9">
        <w:rPr>
          <w:rFonts w:ascii="Lucida Sans" w:hAnsi="Lucida Sans" w:cs="Times New Roman"/>
          <w:color w:val="000000"/>
          <w:sz w:val="20"/>
          <w:szCs w:val="20"/>
        </w:rPr>
        <w:t>Honours</w:t>
      </w:r>
      <w:proofErr w:type="spellEnd"/>
      <w:r w:rsidRPr="00CC2EA9">
        <w:rPr>
          <w:rFonts w:ascii="Lucida Sans" w:hAnsi="Lucida Sans" w:cs="Times New Roman"/>
          <w:color w:val="000000"/>
          <w:sz w:val="20"/>
          <w:szCs w:val="20"/>
        </w:rPr>
        <w:t xml:space="preserve">, Second Class </w:t>
      </w:r>
      <w:proofErr w:type="spellStart"/>
      <w:r w:rsidRPr="00CC2EA9">
        <w:rPr>
          <w:rFonts w:ascii="Lucida Sans" w:hAnsi="Lucida Sans" w:cs="Times New Roman"/>
          <w:color w:val="000000"/>
          <w:sz w:val="20"/>
          <w:szCs w:val="20"/>
        </w:rPr>
        <w:t>Honours</w:t>
      </w:r>
      <w:proofErr w:type="spellEnd"/>
      <w:r w:rsidRPr="00CC2EA9">
        <w:rPr>
          <w:rFonts w:ascii="Lucida Sans" w:hAnsi="Lucida Sans" w:cs="Times New Roman"/>
          <w:color w:val="000000"/>
          <w:sz w:val="20"/>
          <w:szCs w:val="20"/>
        </w:rPr>
        <w:t xml:space="preserve"> and Third Class </w:t>
      </w:r>
      <w:proofErr w:type="spellStart"/>
      <w:r w:rsidRPr="00CC2EA9">
        <w:rPr>
          <w:rFonts w:ascii="Lucida Sans" w:hAnsi="Lucida Sans" w:cs="Times New Roman"/>
          <w:color w:val="000000"/>
          <w:sz w:val="20"/>
          <w:szCs w:val="20"/>
        </w:rPr>
        <w:t>Honours</w:t>
      </w:r>
      <w:proofErr w:type="spellEnd"/>
      <w:r w:rsidRPr="00CC2EA9">
        <w:rPr>
          <w:rFonts w:ascii="Lucida Sans" w:hAnsi="Lucida Sans" w:cs="Times New Roman"/>
          <w:color w:val="000000"/>
          <w:sz w:val="20"/>
          <w:szCs w:val="20"/>
        </w:rPr>
        <w:t xml:space="preserve">. </w:t>
      </w:r>
      <w:proofErr w:type="spellStart"/>
      <w:r w:rsidRPr="00CC2EA9">
        <w:rPr>
          <w:rFonts w:ascii="Lucida Sans" w:hAnsi="Lucida Sans" w:cs="Times New Roman"/>
          <w:color w:val="000000"/>
          <w:sz w:val="20"/>
          <w:szCs w:val="20"/>
        </w:rPr>
        <w:t>Honours</w:t>
      </w:r>
      <w:proofErr w:type="spellEnd"/>
      <w:r w:rsidRPr="00CC2EA9">
        <w:rPr>
          <w:rFonts w:ascii="Lucida Sans" w:hAnsi="Lucida Sans" w:cs="Times New Roman"/>
          <w:color w:val="000000"/>
          <w:sz w:val="20"/>
          <w:szCs w:val="20"/>
        </w:rPr>
        <w:t xml:space="preserve"> result will be calculated as follows: 60% LAW490 plus 40% of the GPA of LLM500, LAW400, LAW480, </w:t>
      </w:r>
      <w:proofErr w:type="gramStart"/>
      <w:r w:rsidRPr="00CC2EA9">
        <w:rPr>
          <w:rFonts w:ascii="Lucida Sans" w:hAnsi="Lucida Sans" w:cs="Times New Roman"/>
          <w:color w:val="000000"/>
          <w:sz w:val="20"/>
          <w:szCs w:val="20"/>
        </w:rPr>
        <w:t>LAW455</w:t>
      </w:r>
      <w:proofErr w:type="gramEnd"/>
      <w:r w:rsidRPr="00CC2EA9">
        <w:rPr>
          <w:rFonts w:ascii="Lucida Sans" w:hAnsi="Lucida Sans" w:cs="Times New Roman"/>
          <w:color w:val="000000"/>
          <w:sz w:val="20"/>
          <w:szCs w:val="20"/>
        </w:rPr>
        <w:t xml:space="preserve">. An undergraduate entry student will not have access to </w:t>
      </w:r>
      <w:proofErr w:type="spellStart"/>
      <w:r w:rsidRPr="00CC2EA9">
        <w:rPr>
          <w:rFonts w:ascii="Lucida Sans" w:hAnsi="Lucida Sans" w:cs="Times New Roman"/>
          <w:color w:val="000000"/>
          <w:sz w:val="20"/>
          <w:szCs w:val="20"/>
        </w:rPr>
        <w:t>Honours</w:t>
      </w:r>
      <w:proofErr w:type="spellEnd"/>
      <w:r w:rsidRPr="00CC2EA9">
        <w:rPr>
          <w:rFonts w:ascii="Lucida Sans" w:hAnsi="Lucida Sans" w:cs="Times New Roman"/>
          <w:color w:val="000000"/>
          <w:sz w:val="20"/>
          <w:szCs w:val="20"/>
        </w:rPr>
        <w:t xml:space="preserve"> within this award.</w:t>
      </w:r>
    </w:p>
    <w:p w:rsidR="00CE1008" w:rsidRPr="00F25690" w:rsidRDefault="00CE1008" w:rsidP="00CE1008">
      <w:pPr>
        <w:pStyle w:val="NormalWeb"/>
        <w:spacing w:before="0" w:beforeAutospacing="0" w:after="0" w:afterAutospacing="0"/>
        <w:rPr>
          <w:rFonts w:ascii="Lucida Sans" w:hAnsi="Lucida Sans" w:cs="Times New Roman"/>
          <w:color w:val="000000"/>
          <w:sz w:val="20"/>
          <w:szCs w:val="20"/>
        </w:rPr>
      </w:pPr>
    </w:p>
    <w:p w:rsidR="00CE1008" w:rsidRPr="00F25690" w:rsidRDefault="00CE1008" w:rsidP="00676AAA">
      <w:pPr>
        <w:pStyle w:val="Heading2"/>
        <w:shd w:val="clear" w:color="auto" w:fill="FFFFFF"/>
        <w:tabs>
          <w:tab w:val="left" w:pos="1560"/>
          <w:tab w:val="left" w:pos="1985"/>
          <w:tab w:val="left" w:pos="2552"/>
        </w:tabs>
        <w:spacing w:before="0" w:after="120"/>
        <w:rPr>
          <w:rFonts w:ascii="Lucida Sans" w:hAnsi="Lucida Sans" w:cstheme="minorHAnsi"/>
          <w:color w:val="92D050"/>
          <w:sz w:val="22"/>
          <w:szCs w:val="22"/>
        </w:rPr>
      </w:pPr>
      <w:r w:rsidRPr="00F25690">
        <w:rPr>
          <w:rFonts w:ascii="Lucida Sans" w:hAnsi="Lucida Sans" w:cstheme="minorHAnsi"/>
          <w:color w:val="92D050"/>
          <w:sz w:val="22"/>
          <w:szCs w:val="22"/>
        </w:rPr>
        <w:t>Career Opportunities</w:t>
      </w:r>
    </w:p>
    <w:p w:rsidR="00CC2EA9" w:rsidRPr="00CC2EA9" w:rsidRDefault="00CC2EA9" w:rsidP="00CC2EA9">
      <w:pPr>
        <w:pStyle w:val="NormalWeb"/>
        <w:spacing w:before="0" w:beforeAutospacing="0" w:after="120" w:afterAutospacing="0"/>
        <w:rPr>
          <w:rFonts w:ascii="Lucida Sans" w:hAnsi="Lucida Sans" w:cs="Times New Roman"/>
          <w:color w:val="000000"/>
          <w:sz w:val="20"/>
          <w:szCs w:val="20"/>
        </w:rPr>
      </w:pPr>
      <w:r w:rsidRPr="00CC2EA9">
        <w:rPr>
          <w:rFonts w:ascii="Lucida Sans" w:hAnsi="Lucida Sans" w:cs="Times New Roman"/>
          <w:color w:val="000000"/>
          <w:sz w:val="20"/>
          <w:szCs w:val="20"/>
        </w:rPr>
        <w:t xml:space="preserve">The Bachelor of Laws (LLB) degree is accredited by the Legal Practitioners Admission Board of NSW. Upon completion of the LLB, graduates may complete a period of practical legal training (PLT) and be qualified to apply for admission as an Australian Lawyer. After admission you are then eligible to apply for a </w:t>
      </w:r>
      <w:proofErr w:type="spellStart"/>
      <w:r w:rsidRPr="00CC2EA9">
        <w:rPr>
          <w:rFonts w:ascii="Lucida Sans" w:hAnsi="Lucida Sans" w:cs="Times New Roman"/>
          <w:color w:val="000000"/>
          <w:sz w:val="20"/>
          <w:szCs w:val="20"/>
        </w:rPr>
        <w:t>practising</w:t>
      </w:r>
      <w:proofErr w:type="spellEnd"/>
      <w:r w:rsidRPr="00CC2EA9">
        <w:rPr>
          <w:rFonts w:ascii="Lucida Sans" w:hAnsi="Lucida Sans" w:cs="Times New Roman"/>
          <w:color w:val="000000"/>
          <w:sz w:val="20"/>
          <w:szCs w:val="20"/>
        </w:rPr>
        <w:t xml:space="preserve"> certificate as a solicitor from the Law Society of NSW or undertake further studies to obtain a </w:t>
      </w:r>
      <w:proofErr w:type="spellStart"/>
      <w:r w:rsidRPr="00CC2EA9">
        <w:rPr>
          <w:rFonts w:ascii="Lucida Sans" w:hAnsi="Lucida Sans" w:cs="Times New Roman"/>
          <w:color w:val="000000"/>
          <w:sz w:val="20"/>
          <w:szCs w:val="20"/>
        </w:rPr>
        <w:t>practising</w:t>
      </w:r>
      <w:proofErr w:type="spellEnd"/>
      <w:r w:rsidRPr="00CC2EA9">
        <w:rPr>
          <w:rFonts w:ascii="Lucida Sans" w:hAnsi="Lucida Sans" w:cs="Times New Roman"/>
          <w:color w:val="000000"/>
          <w:sz w:val="20"/>
          <w:szCs w:val="20"/>
        </w:rPr>
        <w:t xml:space="preserve"> certificate as a barrister from the Bar Association of NSW.</w:t>
      </w:r>
    </w:p>
    <w:p w:rsidR="00CC2EA9" w:rsidRDefault="00CC2EA9" w:rsidP="00CC2EA9">
      <w:pPr>
        <w:pStyle w:val="NormalWeb"/>
        <w:spacing w:before="0" w:beforeAutospacing="0" w:after="120" w:afterAutospacing="0"/>
        <w:rPr>
          <w:rFonts w:ascii="Lucida Sans" w:hAnsi="Lucida Sans" w:cs="Times New Roman"/>
          <w:color w:val="000000"/>
          <w:sz w:val="20"/>
          <w:szCs w:val="20"/>
        </w:rPr>
      </w:pPr>
      <w:r w:rsidRPr="00CC2EA9">
        <w:rPr>
          <w:rFonts w:ascii="Lucida Sans" w:hAnsi="Lucida Sans" w:cs="Times New Roman"/>
          <w:color w:val="000000"/>
          <w:sz w:val="20"/>
          <w:szCs w:val="20"/>
        </w:rPr>
        <w:t xml:space="preserve">Additionally, a law degree is relevant to a large range of careers including: working in legal aid agencies, advocacy </w:t>
      </w:r>
      <w:proofErr w:type="spellStart"/>
      <w:r w:rsidRPr="00CC2EA9">
        <w:rPr>
          <w:rFonts w:ascii="Lucida Sans" w:hAnsi="Lucida Sans" w:cs="Times New Roman"/>
          <w:color w:val="000000"/>
          <w:sz w:val="20"/>
          <w:szCs w:val="20"/>
        </w:rPr>
        <w:t>organisations</w:t>
      </w:r>
      <w:proofErr w:type="spellEnd"/>
      <w:r w:rsidRPr="00CC2EA9">
        <w:rPr>
          <w:rFonts w:ascii="Lucida Sans" w:hAnsi="Lucida Sans" w:cs="Times New Roman"/>
          <w:color w:val="000000"/>
          <w:sz w:val="20"/>
          <w:szCs w:val="20"/>
        </w:rPr>
        <w:t>, commercial firms, government departments, banking, commerce, management and a wide range of businesses.</w:t>
      </w:r>
    </w:p>
    <w:tbl>
      <w:tblPr>
        <w:tblW w:w="5000" w:type="pct"/>
        <w:tblBorders>
          <w:top w:val="single" w:sz="6" w:space="0" w:color="C6C6C6"/>
          <w:left w:val="single" w:sz="6" w:space="0" w:color="C6C6C6"/>
          <w:bottom w:val="single" w:sz="6" w:space="0" w:color="C6C6C6"/>
          <w:right w:val="single" w:sz="6" w:space="0" w:color="C6C6C6"/>
          <w:insideV w:val="single" w:sz="6" w:space="0" w:color="C6C6C6"/>
        </w:tblBorders>
        <w:tblCellMar>
          <w:top w:w="15" w:type="dxa"/>
          <w:left w:w="15" w:type="dxa"/>
          <w:bottom w:w="15" w:type="dxa"/>
          <w:right w:w="15" w:type="dxa"/>
        </w:tblCellMar>
        <w:tblLook w:val="04A0" w:firstRow="1" w:lastRow="0" w:firstColumn="1" w:lastColumn="0" w:noHBand="0" w:noVBand="1"/>
      </w:tblPr>
      <w:tblGrid>
        <w:gridCol w:w="1655"/>
        <w:gridCol w:w="7968"/>
      </w:tblGrid>
      <w:tr w:rsidR="00821C42" w:rsidRPr="00676AAA" w:rsidTr="005A4D24">
        <w:trPr>
          <w:trHeight w:val="283"/>
        </w:trPr>
        <w:tc>
          <w:tcPr>
            <w:tcW w:w="0" w:type="auto"/>
            <w:shd w:val="clear" w:color="auto" w:fill="FFFFFF"/>
            <w:tcMar>
              <w:top w:w="135" w:type="dxa"/>
              <w:left w:w="195" w:type="dxa"/>
              <w:bottom w:w="150" w:type="dxa"/>
              <w:right w:w="120" w:type="dxa"/>
            </w:tcMar>
            <w:vAlign w:val="center"/>
            <w:hideMark/>
          </w:tcPr>
          <w:p w:rsidR="00821C42" w:rsidRPr="00676AAA" w:rsidRDefault="00821C42" w:rsidP="005A4D24">
            <w:pPr>
              <w:spacing w:after="0" w:line="240" w:lineRule="auto"/>
            </w:pPr>
            <w:r w:rsidRPr="00676AAA">
              <w:t>Official Abbreviation</w:t>
            </w:r>
          </w:p>
        </w:tc>
        <w:tc>
          <w:tcPr>
            <w:tcW w:w="0" w:type="auto"/>
            <w:shd w:val="clear" w:color="auto" w:fill="FFFFFF"/>
            <w:tcMar>
              <w:top w:w="135" w:type="dxa"/>
              <w:left w:w="195" w:type="dxa"/>
              <w:bottom w:w="150" w:type="dxa"/>
              <w:right w:w="120" w:type="dxa"/>
            </w:tcMar>
            <w:vAlign w:val="center"/>
            <w:hideMark/>
          </w:tcPr>
          <w:p w:rsidR="00821C42" w:rsidRPr="00676AAA" w:rsidRDefault="00821C42" w:rsidP="005A4D24">
            <w:pPr>
              <w:spacing w:after="0" w:line="240" w:lineRule="auto"/>
            </w:pPr>
            <w:r w:rsidRPr="00676AAA">
              <w:t>LLB</w:t>
            </w:r>
          </w:p>
        </w:tc>
      </w:tr>
      <w:tr w:rsidR="00821C42" w:rsidRPr="00676AAA" w:rsidTr="005A4D24">
        <w:trPr>
          <w:trHeight w:val="170"/>
        </w:trPr>
        <w:tc>
          <w:tcPr>
            <w:tcW w:w="0" w:type="auto"/>
            <w:shd w:val="clear" w:color="auto" w:fill="EEEEEE"/>
            <w:tcMar>
              <w:top w:w="135" w:type="dxa"/>
              <w:left w:w="195" w:type="dxa"/>
              <w:bottom w:w="150" w:type="dxa"/>
              <w:right w:w="120" w:type="dxa"/>
            </w:tcMar>
            <w:vAlign w:val="center"/>
            <w:hideMark/>
          </w:tcPr>
          <w:p w:rsidR="00821C42" w:rsidRPr="00676AAA" w:rsidRDefault="00821C42" w:rsidP="005A4D24">
            <w:pPr>
              <w:spacing w:after="0" w:line="240" w:lineRule="auto"/>
            </w:pPr>
            <w:r w:rsidRPr="00676AAA">
              <w:t>Course Type</w:t>
            </w:r>
          </w:p>
        </w:tc>
        <w:tc>
          <w:tcPr>
            <w:tcW w:w="0" w:type="auto"/>
            <w:shd w:val="clear" w:color="auto" w:fill="EEEEEE"/>
            <w:tcMar>
              <w:top w:w="135" w:type="dxa"/>
              <w:left w:w="195" w:type="dxa"/>
              <w:bottom w:w="150" w:type="dxa"/>
              <w:right w:w="120" w:type="dxa"/>
            </w:tcMar>
            <w:vAlign w:val="center"/>
            <w:hideMark/>
          </w:tcPr>
          <w:p w:rsidR="00821C42" w:rsidRPr="00676AAA" w:rsidRDefault="00821C42" w:rsidP="005A4D24">
            <w:pPr>
              <w:spacing w:after="0" w:line="240" w:lineRule="auto"/>
            </w:pPr>
            <w:r w:rsidRPr="00676AAA">
              <w:t>Undergraduate</w:t>
            </w:r>
          </w:p>
        </w:tc>
      </w:tr>
      <w:tr w:rsidR="00821C42" w:rsidRPr="00E966CA" w:rsidTr="005A4D24">
        <w:trPr>
          <w:trHeight w:val="170"/>
        </w:trPr>
        <w:tc>
          <w:tcPr>
            <w:tcW w:w="0" w:type="auto"/>
            <w:tcMar>
              <w:top w:w="135" w:type="dxa"/>
              <w:left w:w="195" w:type="dxa"/>
              <w:bottom w:w="150" w:type="dxa"/>
              <w:right w:w="120" w:type="dxa"/>
            </w:tcMar>
            <w:vAlign w:val="center"/>
            <w:hideMark/>
          </w:tcPr>
          <w:p w:rsidR="00821C42" w:rsidRPr="00E966CA" w:rsidRDefault="00821C42" w:rsidP="005A4D24">
            <w:pPr>
              <w:spacing w:after="0" w:line="240" w:lineRule="auto"/>
            </w:pPr>
            <w:r w:rsidRPr="00E966CA">
              <w:t>CRICOS Code</w:t>
            </w:r>
          </w:p>
        </w:tc>
        <w:tc>
          <w:tcPr>
            <w:tcW w:w="0" w:type="auto"/>
            <w:tcMar>
              <w:top w:w="135" w:type="dxa"/>
              <w:left w:w="195" w:type="dxa"/>
              <w:bottom w:w="150" w:type="dxa"/>
              <w:right w:w="120" w:type="dxa"/>
            </w:tcMar>
            <w:vAlign w:val="center"/>
            <w:hideMark/>
          </w:tcPr>
          <w:p w:rsidR="00821C42" w:rsidRPr="00E966CA" w:rsidRDefault="00821C42" w:rsidP="005A4D24">
            <w:pPr>
              <w:spacing w:after="0" w:line="240" w:lineRule="auto"/>
            </w:pPr>
            <w:r w:rsidRPr="00E966CA">
              <w:t>016049G</w:t>
            </w:r>
          </w:p>
        </w:tc>
      </w:tr>
      <w:tr w:rsidR="00821C42" w:rsidRPr="00E966CA" w:rsidTr="005A4D24">
        <w:tc>
          <w:tcPr>
            <w:tcW w:w="0" w:type="auto"/>
            <w:tcMar>
              <w:top w:w="135" w:type="dxa"/>
              <w:left w:w="195" w:type="dxa"/>
              <w:bottom w:w="150" w:type="dxa"/>
              <w:right w:w="120" w:type="dxa"/>
            </w:tcMar>
            <w:vAlign w:val="center"/>
            <w:hideMark/>
          </w:tcPr>
          <w:p w:rsidR="00821C42" w:rsidRPr="00E966CA" w:rsidRDefault="00821C42" w:rsidP="005A4D24">
            <w:pPr>
              <w:spacing w:after="0" w:line="240" w:lineRule="auto"/>
            </w:pPr>
            <w:r w:rsidRPr="00E966CA">
              <w:t>Commencing</w:t>
            </w:r>
          </w:p>
        </w:tc>
        <w:tc>
          <w:tcPr>
            <w:tcW w:w="0" w:type="auto"/>
            <w:tcMar>
              <w:top w:w="135" w:type="dxa"/>
              <w:left w:w="195" w:type="dxa"/>
              <w:bottom w:w="150" w:type="dxa"/>
              <w:right w:w="120" w:type="dxa"/>
            </w:tcMar>
            <w:vAlign w:val="center"/>
            <w:hideMark/>
          </w:tcPr>
          <w:tbl>
            <w:tblPr>
              <w:tblW w:w="5000" w:type="pct"/>
              <w:tblBorders>
                <w:top w:val="single" w:sz="12" w:space="0" w:color="C6C6C6"/>
                <w:left w:val="single" w:sz="12" w:space="0" w:color="C6C6C6"/>
                <w:bottom w:val="single" w:sz="12"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2667"/>
              <w:gridCol w:w="2408"/>
              <w:gridCol w:w="2555"/>
            </w:tblGrid>
            <w:tr w:rsidR="00821C42" w:rsidRPr="00E966CA" w:rsidTr="005A4D24">
              <w:trPr>
                <w:trHeight w:val="20"/>
              </w:trPr>
              <w:tc>
                <w:tcPr>
                  <w:tcW w:w="1748" w:type="pct"/>
                  <w:tcBorders>
                    <w:bottom w:val="single" w:sz="18" w:space="0" w:color="96C03D"/>
                    <w:right w:val="single" w:sz="6" w:space="0" w:color="C6C6C6"/>
                  </w:tcBorders>
                  <w:shd w:val="clear" w:color="auto" w:fill="1E1E1E"/>
                  <w:tcMar>
                    <w:top w:w="210" w:type="dxa"/>
                    <w:left w:w="195" w:type="dxa"/>
                    <w:bottom w:w="195" w:type="dxa"/>
                    <w:right w:w="120" w:type="dxa"/>
                  </w:tcMar>
                  <w:vAlign w:val="center"/>
                  <w:hideMark/>
                </w:tcPr>
                <w:p w:rsidR="00821C42" w:rsidRPr="00E966CA" w:rsidRDefault="00821C42" w:rsidP="005A4D24">
                  <w:pPr>
                    <w:spacing w:after="0" w:line="240" w:lineRule="auto"/>
                    <w:rPr>
                      <w:b/>
                      <w:bCs/>
                    </w:rPr>
                  </w:pPr>
                  <w:r w:rsidRPr="00E966CA">
                    <w:rPr>
                      <w:b/>
                      <w:bCs/>
                    </w:rPr>
                    <w:t>Responsible Campus</w:t>
                  </w:r>
                </w:p>
              </w:tc>
              <w:tc>
                <w:tcPr>
                  <w:tcW w:w="1578" w:type="pct"/>
                  <w:tcBorders>
                    <w:bottom w:val="single" w:sz="18" w:space="0" w:color="96C03D"/>
                    <w:right w:val="single" w:sz="6" w:space="0" w:color="C6C6C6"/>
                  </w:tcBorders>
                  <w:shd w:val="clear" w:color="auto" w:fill="1E1E1E"/>
                  <w:tcMar>
                    <w:top w:w="210" w:type="dxa"/>
                    <w:left w:w="195" w:type="dxa"/>
                    <w:bottom w:w="195" w:type="dxa"/>
                    <w:right w:w="120" w:type="dxa"/>
                  </w:tcMar>
                  <w:vAlign w:val="center"/>
                  <w:hideMark/>
                </w:tcPr>
                <w:p w:rsidR="00821C42" w:rsidRPr="00E966CA" w:rsidRDefault="00821C42" w:rsidP="005A4D24">
                  <w:pPr>
                    <w:spacing w:after="0" w:line="240" w:lineRule="auto"/>
                    <w:rPr>
                      <w:b/>
                      <w:bCs/>
                    </w:rPr>
                  </w:pPr>
                  <w:r w:rsidRPr="00E966CA">
                    <w:rPr>
                      <w:b/>
                      <w:bCs/>
                    </w:rPr>
                    <w:t>Admission Period</w:t>
                  </w:r>
                </w:p>
              </w:tc>
              <w:tc>
                <w:tcPr>
                  <w:tcW w:w="1674" w:type="pct"/>
                  <w:tcBorders>
                    <w:bottom w:val="single" w:sz="18" w:space="0" w:color="96C03D"/>
                    <w:right w:val="single" w:sz="6" w:space="0" w:color="C6C6C6"/>
                  </w:tcBorders>
                  <w:shd w:val="clear" w:color="auto" w:fill="1E1E1E"/>
                  <w:tcMar>
                    <w:top w:w="210" w:type="dxa"/>
                    <w:left w:w="195" w:type="dxa"/>
                    <w:bottom w:w="195" w:type="dxa"/>
                    <w:right w:w="120" w:type="dxa"/>
                  </w:tcMar>
                  <w:vAlign w:val="center"/>
                  <w:hideMark/>
                </w:tcPr>
                <w:p w:rsidR="00821C42" w:rsidRPr="00E966CA" w:rsidRDefault="00821C42" w:rsidP="005A4D24">
                  <w:pPr>
                    <w:spacing w:after="0" w:line="240" w:lineRule="auto"/>
                    <w:rPr>
                      <w:b/>
                      <w:bCs/>
                    </w:rPr>
                  </w:pPr>
                  <w:r w:rsidRPr="00E966CA">
                    <w:rPr>
                      <w:b/>
                      <w:bCs/>
                    </w:rPr>
                    <w:t>Mode of Study</w:t>
                  </w:r>
                </w:p>
              </w:tc>
            </w:tr>
            <w:tr w:rsidR="00821C42" w:rsidRPr="00E966CA" w:rsidTr="005A4D24">
              <w:trPr>
                <w:trHeight w:val="20"/>
              </w:trPr>
              <w:tc>
                <w:tcPr>
                  <w:tcW w:w="1748" w:type="pct"/>
                  <w:tcBorders>
                    <w:right w:val="single" w:sz="6" w:space="0" w:color="C6C6C6"/>
                  </w:tcBorders>
                  <w:tcMar>
                    <w:top w:w="135" w:type="dxa"/>
                    <w:left w:w="195" w:type="dxa"/>
                    <w:bottom w:w="150" w:type="dxa"/>
                    <w:right w:w="120" w:type="dxa"/>
                  </w:tcMar>
                  <w:vAlign w:val="center"/>
                  <w:hideMark/>
                </w:tcPr>
                <w:p w:rsidR="00821C42" w:rsidRPr="00E966CA" w:rsidRDefault="00821C42" w:rsidP="005A4D24">
                  <w:pPr>
                    <w:spacing w:after="0" w:line="240" w:lineRule="auto"/>
                  </w:pPr>
                  <w:r w:rsidRPr="00E966CA">
                    <w:t>Armidale</w:t>
                  </w:r>
                </w:p>
              </w:tc>
              <w:tc>
                <w:tcPr>
                  <w:tcW w:w="1578" w:type="pct"/>
                  <w:tcBorders>
                    <w:right w:val="single" w:sz="6" w:space="0" w:color="C6C6C6"/>
                  </w:tcBorders>
                  <w:tcMar>
                    <w:top w:w="135" w:type="dxa"/>
                    <w:left w:w="195" w:type="dxa"/>
                    <w:bottom w:w="150" w:type="dxa"/>
                    <w:right w:w="120" w:type="dxa"/>
                  </w:tcMar>
                  <w:vAlign w:val="center"/>
                  <w:hideMark/>
                </w:tcPr>
                <w:p w:rsidR="00821C42" w:rsidRPr="00E966CA" w:rsidRDefault="00821C42" w:rsidP="005A4D24">
                  <w:pPr>
                    <w:spacing w:after="0" w:line="240" w:lineRule="auto"/>
                  </w:pPr>
                  <w:r w:rsidRPr="00E966CA">
                    <w:t>Trimester 1</w:t>
                  </w:r>
                </w:p>
              </w:tc>
              <w:tc>
                <w:tcPr>
                  <w:tcW w:w="1674" w:type="pct"/>
                  <w:tcBorders>
                    <w:right w:val="single" w:sz="6" w:space="0" w:color="C6C6C6"/>
                  </w:tcBorders>
                  <w:tcMar>
                    <w:top w:w="135" w:type="dxa"/>
                    <w:left w:w="195" w:type="dxa"/>
                    <w:bottom w:w="150" w:type="dxa"/>
                    <w:right w:w="120" w:type="dxa"/>
                  </w:tcMar>
                  <w:vAlign w:val="center"/>
                  <w:hideMark/>
                </w:tcPr>
                <w:p w:rsidR="00821C42" w:rsidRPr="00E966CA" w:rsidRDefault="00821C42" w:rsidP="005A4D24">
                  <w:pPr>
                    <w:spacing w:after="0" w:line="240" w:lineRule="auto"/>
                  </w:pPr>
                  <w:r w:rsidRPr="00E966CA">
                    <w:t>Off Campus</w:t>
                  </w:r>
                </w:p>
              </w:tc>
            </w:tr>
            <w:tr w:rsidR="00821C42" w:rsidRPr="00E966CA" w:rsidTr="005A4D24">
              <w:trPr>
                <w:trHeight w:val="20"/>
              </w:trPr>
              <w:tc>
                <w:tcPr>
                  <w:tcW w:w="1748" w:type="pct"/>
                  <w:tcBorders>
                    <w:right w:val="single" w:sz="6" w:space="0" w:color="C6C6C6"/>
                  </w:tcBorders>
                  <w:tcMar>
                    <w:top w:w="135" w:type="dxa"/>
                    <w:left w:w="195" w:type="dxa"/>
                    <w:bottom w:w="150" w:type="dxa"/>
                    <w:right w:w="120" w:type="dxa"/>
                  </w:tcMar>
                  <w:vAlign w:val="center"/>
                  <w:hideMark/>
                </w:tcPr>
                <w:p w:rsidR="00821C42" w:rsidRPr="00E966CA" w:rsidRDefault="00821C42" w:rsidP="005A4D24">
                  <w:pPr>
                    <w:spacing w:after="0" w:line="240" w:lineRule="auto"/>
                  </w:pPr>
                  <w:r w:rsidRPr="00E966CA">
                    <w:t>Armidale</w:t>
                  </w:r>
                </w:p>
              </w:tc>
              <w:tc>
                <w:tcPr>
                  <w:tcW w:w="1578" w:type="pct"/>
                  <w:tcBorders>
                    <w:right w:val="single" w:sz="6" w:space="0" w:color="C6C6C6"/>
                  </w:tcBorders>
                  <w:tcMar>
                    <w:top w:w="135" w:type="dxa"/>
                    <w:left w:w="195" w:type="dxa"/>
                    <w:bottom w:w="150" w:type="dxa"/>
                    <w:right w:w="120" w:type="dxa"/>
                  </w:tcMar>
                  <w:vAlign w:val="center"/>
                  <w:hideMark/>
                </w:tcPr>
                <w:p w:rsidR="00821C42" w:rsidRPr="00E966CA" w:rsidRDefault="00821C42" w:rsidP="005A4D24">
                  <w:pPr>
                    <w:spacing w:after="0" w:line="240" w:lineRule="auto"/>
                  </w:pPr>
                  <w:r w:rsidRPr="00E966CA">
                    <w:t>Trimester 1</w:t>
                  </w:r>
                </w:p>
              </w:tc>
              <w:tc>
                <w:tcPr>
                  <w:tcW w:w="1674" w:type="pct"/>
                  <w:tcBorders>
                    <w:right w:val="single" w:sz="6" w:space="0" w:color="C6C6C6"/>
                  </w:tcBorders>
                  <w:tcMar>
                    <w:top w:w="135" w:type="dxa"/>
                    <w:left w:w="195" w:type="dxa"/>
                    <w:bottom w:w="150" w:type="dxa"/>
                    <w:right w:w="120" w:type="dxa"/>
                  </w:tcMar>
                  <w:vAlign w:val="center"/>
                  <w:hideMark/>
                </w:tcPr>
                <w:p w:rsidR="00821C42" w:rsidRPr="00E966CA" w:rsidRDefault="00821C42" w:rsidP="005A4D24">
                  <w:pPr>
                    <w:spacing w:after="0" w:line="240" w:lineRule="auto"/>
                  </w:pPr>
                  <w:r w:rsidRPr="00E966CA">
                    <w:t>On Campus</w:t>
                  </w:r>
                </w:p>
              </w:tc>
            </w:tr>
            <w:tr w:rsidR="00821C42" w:rsidRPr="00E966CA" w:rsidTr="005A4D24">
              <w:trPr>
                <w:trHeight w:val="20"/>
              </w:trPr>
              <w:tc>
                <w:tcPr>
                  <w:tcW w:w="1748" w:type="pct"/>
                  <w:tcBorders>
                    <w:right w:val="single" w:sz="6" w:space="0" w:color="C6C6C6"/>
                  </w:tcBorders>
                  <w:tcMar>
                    <w:top w:w="135" w:type="dxa"/>
                    <w:left w:w="195" w:type="dxa"/>
                    <w:bottom w:w="150" w:type="dxa"/>
                    <w:right w:w="120" w:type="dxa"/>
                  </w:tcMar>
                  <w:vAlign w:val="center"/>
                  <w:hideMark/>
                </w:tcPr>
                <w:p w:rsidR="00821C42" w:rsidRPr="00E966CA" w:rsidRDefault="00821C42" w:rsidP="005A4D24">
                  <w:pPr>
                    <w:spacing w:after="0" w:line="240" w:lineRule="auto"/>
                  </w:pPr>
                  <w:r w:rsidRPr="00E966CA">
                    <w:t>Armidale</w:t>
                  </w:r>
                </w:p>
              </w:tc>
              <w:tc>
                <w:tcPr>
                  <w:tcW w:w="1578" w:type="pct"/>
                  <w:tcBorders>
                    <w:right w:val="single" w:sz="6" w:space="0" w:color="C6C6C6"/>
                  </w:tcBorders>
                  <w:tcMar>
                    <w:top w:w="135" w:type="dxa"/>
                    <w:left w:w="195" w:type="dxa"/>
                    <w:bottom w:w="150" w:type="dxa"/>
                    <w:right w:w="120" w:type="dxa"/>
                  </w:tcMar>
                  <w:vAlign w:val="center"/>
                  <w:hideMark/>
                </w:tcPr>
                <w:p w:rsidR="00821C42" w:rsidRPr="00E966CA" w:rsidRDefault="00821C42" w:rsidP="005A4D24">
                  <w:pPr>
                    <w:spacing w:after="0" w:line="240" w:lineRule="auto"/>
                  </w:pPr>
                  <w:r w:rsidRPr="00E966CA">
                    <w:t>Trimester 2</w:t>
                  </w:r>
                </w:p>
              </w:tc>
              <w:tc>
                <w:tcPr>
                  <w:tcW w:w="1674" w:type="pct"/>
                  <w:tcBorders>
                    <w:right w:val="single" w:sz="6" w:space="0" w:color="C6C6C6"/>
                  </w:tcBorders>
                  <w:tcMar>
                    <w:top w:w="135" w:type="dxa"/>
                    <w:left w:w="195" w:type="dxa"/>
                    <w:bottom w:w="150" w:type="dxa"/>
                    <w:right w:w="120" w:type="dxa"/>
                  </w:tcMar>
                  <w:vAlign w:val="center"/>
                  <w:hideMark/>
                </w:tcPr>
                <w:p w:rsidR="00821C42" w:rsidRPr="00E966CA" w:rsidRDefault="00821C42" w:rsidP="005A4D24">
                  <w:pPr>
                    <w:spacing w:after="0" w:line="240" w:lineRule="auto"/>
                  </w:pPr>
                  <w:r w:rsidRPr="00E966CA">
                    <w:t>Off Campus</w:t>
                  </w:r>
                </w:p>
              </w:tc>
            </w:tr>
            <w:tr w:rsidR="00821C42" w:rsidRPr="00E966CA" w:rsidTr="005A4D24">
              <w:trPr>
                <w:trHeight w:val="20"/>
              </w:trPr>
              <w:tc>
                <w:tcPr>
                  <w:tcW w:w="1748" w:type="pct"/>
                  <w:tcBorders>
                    <w:right w:val="single" w:sz="6" w:space="0" w:color="C6C6C6"/>
                  </w:tcBorders>
                  <w:tcMar>
                    <w:top w:w="135" w:type="dxa"/>
                    <w:left w:w="195" w:type="dxa"/>
                    <w:bottom w:w="150" w:type="dxa"/>
                    <w:right w:w="120" w:type="dxa"/>
                  </w:tcMar>
                  <w:vAlign w:val="center"/>
                  <w:hideMark/>
                </w:tcPr>
                <w:p w:rsidR="00821C42" w:rsidRPr="00E966CA" w:rsidRDefault="00821C42" w:rsidP="005A4D24">
                  <w:pPr>
                    <w:spacing w:after="0" w:line="240" w:lineRule="auto"/>
                  </w:pPr>
                  <w:r w:rsidRPr="00E966CA">
                    <w:t>Armidale</w:t>
                  </w:r>
                </w:p>
              </w:tc>
              <w:tc>
                <w:tcPr>
                  <w:tcW w:w="1578" w:type="pct"/>
                  <w:tcBorders>
                    <w:right w:val="single" w:sz="6" w:space="0" w:color="C6C6C6"/>
                  </w:tcBorders>
                  <w:tcMar>
                    <w:top w:w="135" w:type="dxa"/>
                    <w:left w:w="195" w:type="dxa"/>
                    <w:bottom w:w="150" w:type="dxa"/>
                    <w:right w:w="120" w:type="dxa"/>
                  </w:tcMar>
                  <w:vAlign w:val="center"/>
                  <w:hideMark/>
                </w:tcPr>
                <w:p w:rsidR="00821C42" w:rsidRPr="00E966CA" w:rsidRDefault="00821C42" w:rsidP="005A4D24">
                  <w:pPr>
                    <w:spacing w:after="0" w:line="240" w:lineRule="auto"/>
                  </w:pPr>
                  <w:r w:rsidRPr="00E966CA">
                    <w:t>Trimester 2</w:t>
                  </w:r>
                </w:p>
              </w:tc>
              <w:tc>
                <w:tcPr>
                  <w:tcW w:w="1674" w:type="pct"/>
                  <w:tcBorders>
                    <w:right w:val="single" w:sz="6" w:space="0" w:color="C6C6C6"/>
                  </w:tcBorders>
                  <w:tcMar>
                    <w:top w:w="135" w:type="dxa"/>
                    <w:left w:w="195" w:type="dxa"/>
                    <w:bottom w:w="150" w:type="dxa"/>
                    <w:right w:w="120" w:type="dxa"/>
                  </w:tcMar>
                  <w:vAlign w:val="center"/>
                  <w:hideMark/>
                </w:tcPr>
                <w:p w:rsidR="00821C42" w:rsidRPr="00E966CA" w:rsidRDefault="00821C42" w:rsidP="005A4D24">
                  <w:pPr>
                    <w:spacing w:after="0" w:line="240" w:lineRule="auto"/>
                  </w:pPr>
                  <w:r w:rsidRPr="00E966CA">
                    <w:t>On Campus</w:t>
                  </w:r>
                </w:p>
              </w:tc>
            </w:tr>
            <w:tr w:rsidR="00821C42" w:rsidRPr="00E966CA" w:rsidTr="005A4D24">
              <w:trPr>
                <w:trHeight w:val="20"/>
              </w:trPr>
              <w:tc>
                <w:tcPr>
                  <w:tcW w:w="1748" w:type="pct"/>
                  <w:tcBorders>
                    <w:right w:val="single" w:sz="6" w:space="0" w:color="C6C6C6"/>
                  </w:tcBorders>
                  <w:tcMar>
                    <w:top w:w="135" w:type="dxa"/>
                    <w:left w:w="195" w:type="dxa"/>
                    <w:bottom w:w="150" w:type="dxa"/>
                    <w:right w:w="120" w:type="dxa"/>
                  </w:tcMar>
                  <w:vAlign w:val="center"/>
                  <w:hideMark/>
                </w:tcPr>
                <w:p w:rsidR="00821C42" w:rsidRPr="00E966CA" w:rsidRDefault="00821C42" w:rsidP="005A4D24">
                  <w:pPr>
                    <w:spacing w:after="0" w:line="240" w:lineRule="auto"/>
                  </w:pPr>
                  <w:r w:rsidRPr="00E966CA">
                    <w:t>Armidale</w:t>
                  </w:r>
                </w:p>
              </w:tc>
              <w:tc>
                <w:tcPr>
                  <w:tcW w:w="1578" w:type="pct"/>
                  <w:tcBorders>
                    <w:right w:val="single" w:sz="6" w:space="0" w:color="C6C6C6"/>
                  </w:tcBorders>
                  <w:tcMar>
                    <w:top w:w="135" w:type="dxa"/>
                    <w:left w:w="195" w:type="dxa"/>
                    <w:bottom w:w="150" w:type="dxa"/>
                    <w:right w:w="120" w:type="dxa"/>
                  </w:tcMar>
                  <w:vAlign w:val="center"/>
                  <w:hideMark/>
                </w:tcPr>
                <w:p w:rsidR="00821C42" w:rsidRPr="00E966CA" w:rsidRDefault="00821C42" w:rsidP="005A4D24">
                  <w:pPr>
                    <w:spacing w:after="0" w:line="240" w:lineRule="auto"/>
                  </w:pPr>
                  <w:r w:rsidRPr="00E966CA">
                    <w:t>Trimester 3</w:t>
                  </w:r>
                </w:p>
              </w:tc>
              <w:tc>
                <w:tcPr>
                  <w:tcW w:w="1674" w:type="pct"/>
                  <w:tcBorders>
                    <w:right w:val="single" w:sz="6" w:space="0" w:color="C6C6C6"/>
                  </w:tcBorders>
                  <w:tcMar>
                    <w:top w:w="135" w:type="dxa"/>
                    <w:left w:w="195" w:type="dxa"/>
                    <w:bottom w:w="150" w:type="dxa"/>
                    <w:right w:w="120" w:type="dxa"/>
                  </w:tcMar>
                  <w:vAlign w:val="center"/>
                  <w:hideMark/>
                </w:tcPr>
                <w:p w:rsidR="00821C42" w:rsidRPr="00E966CA" w:rsidRDefault="00821C42" w:rsidP="005A4D24">
                  <w:pPr>
                    <w:spacing w:after="0" w:line="240" w:lineRule="auto"/>
                  </w:pPr>
                  <w:r w:rsidRPr="00E966CA">
                    <w:t>Off Campus</w:t>
                  </w:r>
                </w:p>
              </w:tc>
            </w:tr>
          </w:tbl>
          <w:p w:rsidR="00821C42" w:rsidRPr="00E966CA" w:rsidRDefault="00821C42" w:rsidP="005A4D24">
            <w:pPr>
              <w:spacing w:line="240" w:lineRule="auto"/>
            </w:pPr>
          </w:p>
        </w:tc>
      </w:tr>
      <w:tr w:rsidR="00821C42" w:rsidRPr="00E966CA" w:rsidTr="005A4D24">
        <w:trPr>
          <w:trHeight w:val="573"/>
        </w:trPr>
        <w:tc>
          <w:tcPr>
            <w:tcW w:w="0" w:type="auto"/>
            <w:tcMar>
              <w:top w:w="135" w:type="dxa"/>
              <w:left w:w="195" w:type="dxa"/>
              <w:bottom w:w="150" w:type="dxa"/>
              <w:right w:w="120" w:type="dxa"/>
            </w:tcMar>
            <w:vAlign w:val="center"/>
            <w:hideMark/>
          </w:tcPr>
          <w:p w:rsidR="00821C42" w:rsidRPr="00E966CA" w:rsidRDefault="00821C42" w:rsidP="005A4D24">
            <w:pPr>
              <w:spacing w:after="0" w:line="240" w:lineRule="auto"/>
            </w:pPr>
            <w:r w:rsidRPr="00E966CA">
              <w:lastRenderedPageBreak/>
              <w:t>Course Duration</w:t>
            </w:r>
          </w:p>
        </w:tc>
        <w:tc>
          <w:tcPr>
            <w:tcW w:w="0" w:type="auto"/>
            <w:tcMar>
              <w:top w:w="135" w:type="dxa"/>
              <w:left w:w="195" w:type="dxa"/>
              <w:bottom w:w="150" w:type="dxa"/>
              <w:right w:w="120" w:type="dxa"/>
            </w:tcMar>
            <w:vAlign w:val="center"/>
            <w:hideMark/>
          </w:tcPr>
          <w:p w:rsidR="00821C42" w:rsidRPr="00E966CA" w:rsidRDefault="00821C42" w:rsidP="005A4D24">
            <w:pPr>
              <w:numPr>
                <w:ilvl w:val="0"/>
                <w:numId w:val="2"/>
              </w:numPr>
              <w:spacing w:after="80" w:line="240" w:lineRule="auto"/>
              <w:ind w:left="714" w:hanging="357"/>
            </w:pPr>
            <w:r w:rsidRPr="00E966CA">
              <w:t>3 Years Full-time</w:t>
            </w:r>
          </w:p>
          <w:p w:rsidR="00821C42" w:rsidRPr="00E966CA" w:rsidRDefault="00821C42" w:rsidP="005A4D24">
            <w:pPr>
              <w:numPr>
                <w:ilvl w:val="0"/>
                <w:numId w:val="2"/>
              </w:numPr>
              <w:spacing w:after="0" w:line="240" w:lineRule="auto"/>
            </w:pPr>
            <w:r w:rsidRPr="00E966CA">
              <w:t>Up to 10 years Part-time</w:t>
            </w:r>
          </w:p>
        </w:tc>
      </w:tr>
      <w:tr w:rsidR="00821C42" w:rsidRPr="00E966CA" w:rsidTr="005A4D24">
        <w:trPr>
          <w:trHeight w:val="217"/>
        </w:trPr>
        <w:tc>
          <w:tcPr>
            <w:tcW w:w="0" w:type="auto"/>
            <w:tcMar>
              <w:top w:w="135" w:type="dxa"/>
              <w:left w:w="195" w:type="dxa"/>
              <w:bottom w:w="150" w:type="dxa"/>
              <w:right w:w="120" w:type="dxa"/>
            </w:tcMar>
            <w:vAlign w:val="center"/>
            <w:hideMark/>
          </w:tcPr>
          <w:p w:rsidR="00821C42" w:rsidRPr="00E966CA" w:rsidRDefault="00821C42" w:rsidP="005A4D24">
            <w:pPr>
              <w:spacing w:after="0" w:line="240" w:lineRule="auto"/>
            </w:pPr>
            <w:r w:rsidRPr="00E966CA">
              <w:t>Fees</w:t>
            </w:r>
          </w:p>
        </w:tc>
        <w:tc>
          <w:tcPr>
            <w:tcW w:w="0" w:type="auto"/>
            <w:tcMar>
              <w:top w:w="135" w:type="dxa"/>
              <w:left w:w="195" w:type="dxa"/>
              <w:bottom w:w="150" w:type="dxa"/>
              <w:right w:w="120" w:type="dxa"/>
            </w:tcMar>
            <w:vAlign w:val="center"/>
            <w:hideMark/>
          </w:tcPr>
          <w:p w:rsidR="00821C42" w:rsidRPr="00E966CA" w:rsidRDefault="00821C42" w:rsidP="005A4D24">
            <w:pPr>
              <w:spacing w:after="0" w:line="240" w:lineRule="auto"/>
            </w:pPr>
            <w:r w:rsidRPr="00E966CA">
              <w:t xml:space="preserve">CSP / International </w:t>
            </w:r>
          </w:p>
        </w:tc>
      </w:tr>
      <w:tr w:rsidR="00821C42" w:rsidRPr="00E966CA" w:rsidTr="005A4D24">
        <w:trPr>
          <w:trHeight w:val="380"/>
        </w:trPr>
        <w:tc>
          <w:tcPr>
            <w:tcW w:w="0" w:type="auto"/>
            <w:tcMar>
              <w:top w:w="135" w:type="dxa"/>
              <w:left w:w="195" w:type="dxa"/>
              <w:bottom w:w="150" w:type="dxa"/>
              <w:right w:w="120" w:type="dxa"/>
            </w:tcMar>
            <w:vAlign w:val="center"/>
            <w:hideMark/>
          </w:tcPr>
          <w:p w:rsidR="00821C42" w:rsidRPr="00E966CA" w:rsidRDefault="00821C42" w:rsidP="005A4D24">
            <w:pPr>
              <w:spacing w:line="240" w:lineRule="auto"/>
            </w:pPr>
            <w:r w:rsidRPr="00E966CA">
              <w:t>Total Credit Points</w:t>
            </w:r>
          </w:p>
        </w:tc>
        <w:tc>
          <w:tcPr>
            <w:tcW w:w="0" w:type="auto"/>
            <w:tcMar>
              <w:top w:w="135" w:type="dxa"/>
              <w:left w:w="195" w:type="dxa"/>
              <w:bottom w:w="150" w:type="dxa"/>
              <w:right w:w="120" w:type="dxa"/>
            </w:tcMar>
            <w:vAlign w:val="center"/>
            <w:hideMark/>
          </w:tcPr>
          <w:p w:rsidR="00821C42" w:rsidRPr="00E966CA" w:rsidRDefault="00821C42" w:rsidP="005A4D24">
            <w:pPr>
              <w:spacing w:line="240" w:lineRule="auto"/>
            </w:pPr>
            <w:r w:rsidRPr="00E966CA">
              <w:t>144</w:t>
            </w:r>
          </w:p>
        </w:tc>
      </w:tr>
      <w:tr w:rsidR="00821C42" w:rsidRPr="00E966CA" w:rsidTr="002D3B7E">
        <w:tc>
          <w:tcPr>
            <w:tcW w:w="0" w:type="auto"/>
            <w:tcMar>
              <w:top w:w="135" w:type="dxa"/>
              <w:left w:w="195" w:type="dxa"/>
              <w:bottom w:w="150" w:type="dxa"/>
              <w:right w:w="120" w:type="dxa"/>
            </w:tcMar>
            <w:hideMark/>
          </w:tcPr>
          <w:p w:rsidR="00821C42" w:rsidRPr="00E966CA" w:rsidRDefault="00821C42" w:rsidP="002D3B7E">
            <w:pPr>
              <w:spacing w:after="0" w:line="240" w:lineRule="auto"/>
            </w:pPr>
            <w:r w:rsidRPr="00E966CA">
              <w:t>How to Apply</w:t>
            </w:r>
          </w:p>
        </w:tc>
        <w:tc>
          <w:tcPr>
            <w:tcW w:w="0" w:type="auto"/>
            <w:tcMar>
              <w:top w:w="135" w:type="dxa"/>
              <w:left w:w="195" w:type="dxa"/>
              <w:bottom w:w="150" w:type="dxa"/>
              <w:right w:w="120" w:type="dxa"/>
            </w:tcMar>
            <w:vAlign w:val="center"/>
            <w:hideMark/>
          </w:tcPr>
          <w:p w:rsidR="00821C42" w:rsidRPr="00E966CA" w:rsidRDefault="00821C42" w:rsidP="005A4D24">
            <w:pPr>
              <w:spacing w:after="120" w:line="240" w:lineRule="auto"/>
            </w:pPr>
            <w:r w:rsidRPr="00E966CA">
              <w:rPr>
                <w:b/>
                <w:bCs/>
              </w:rPr>
              <w:t>New domestic</w:t>
            </w:r>
            <w:r w:rsidRPr="00E966CA">
              <w:t xml:space="preserve"> students to UNE apply to study </w:t>
            </w:r>
            <w:r w:rsidRPr="00E966CA">
              <w:rPr>
                <w:b/>
                <w:bCs/>
              </w:rPr>
              <w:t>on campus</w:t>
            </w:r>
            <w:r w:rsidRPr="00E966CA">
              <w:t xml:space="preserve"> through UAC or QTAC</w:t>
            </w:r>
          </w:p>
          <w:p w:rsidR="00821C42" w:rsidRPr="00E966CA" w:rsidRDefault="0088303C" w:rsidP="005A4D24">
            <w:pPr>
              <w:spacing w:after="120" w:line="240" w:lineRule="auto"/>
            </w:pPr>
            <w:hyperlink r:id="rId11" w:tgtFrame="_blank" w:history="1">
              <w:r w:rsidR="00821C42" w:rsidRPr="00E966CA">
                <w:rPr>
                  <w:rStyle w:val="Hyperlink"/>
                </w:rPr>
                <w:t xml:space="preserve">For more information, click here </w:t>
              </w:r>
            </w:hyperlink>
          </w:p>
          <w:p w:rsidR="00821C42" w:rsidRPr="00E966CA" w:rsidRDefault="00821C42" w:rsidP="005A4D24">
            <w:pPr>
              <w:spacing w:after="120" w:line="240" w:lineRule="auto"/>
            </w:pPr>
            <w:r w:rsidRPr="00E966CA">
              <w:rPr>
                <w:b/>
                <w:bCs/>
              </w:rPr>
              <w:t>New domestic</w:t>
            </w:r>
            <w:r w:rsidRPr="00E966CA">
              <w:t xml:space="preserve"> students to UNE apply to study </w:t>
            </w:r>
            <w:r w:rsidRPr="00E966CA">
              <w:rPr>
                <w:b/>
                <w:bCs/>
              </w:rPr>
              <w:t>off campus</w:t>
            </w:r>
            <w:r w:rsidRPr="00E966CA">
              <w:t xml:space="preserve"> direct to UNE and</w:t>
            </w:r>
          </w:p>
          <w:p w:rsidR="00821C42" w:rsidRPr="00E966CA" w:rsidRDefault="00821C42" w:rsidP="005A4D24">
            <w:pPr>
              <w:spacing w:after="120" w:line="240" w:lineRule="auto"/>
            </w:pPr>
            <w:r w:rsidRPr="00E966CA">
              <w:rPr>
                <w:b/>
                <w:bCs/>
              </w:rPr>
              <w:t>Former and current domestic UNE</w:t>
            </w:r>
            <w:r w:rsidRPr="00E966CA">
              <w:t xml:space="preserve"> students apply to study</w:t>
            </w:r>
            <w:r w:rsidRPr="00E966CA">
              <w:rPr>
                <w:b/>
                <w:bCs/>
              </w:rPr>
              <w:t xml:space="preserve"> on or off campus</w:t>
            </w:r>
            <w:r w:rsidRPr="00E966CA">
              <w:t xml:space="preserve"> direct to UNE</w:t>
            </w:r>
          </w:p>
          <w:p w:rsidR="00821C42" w:rsidRPr="00E966CA" w:rsidRDefault="0088303C" w:rsidP="005A4D24">
            <w:pPr>
              <w:spacing w:after="120" w:line="240" w:lineRule="auto"/>
            </w:pPr>
            <w:hyperlink r:id="rId12" w:tgtFrame="_blank" w:history="1">
              <w:r w:rsidR="00821C42" w:rsidRPr="00E966CA">
                <w:rPr>
                  <w:rStyle w:val="Hyperlink"/>
                </w:rPr>
                <w:t xml:space="preserve">For more information, click here </w:t>
              </w:r>
            </w:hyperlink>
          </w:p>
          <w:p w:rsidR="00821C42" w:rsidRPr="00E966CA" w:rsidRDefault="00821C42" w:rsidP="005A4D24">
            <w:pPr>
              <w:spacing w:after="120" w:line="240" w:lineRule="auto"/>
            </w:pPr>
            <w:r w:rsidRPr="00E966CA">
              <w:rPr>
                <w:b/>
                <w:bCs/>
              </w:rPr>
              <w:t>International</w:t>
            </w:r>
            <w:r w:rsidRPr="00E966CA">
              <w:t xml:space="preserve"> students apply direct to UNE through UNE International</w:t>
            </w:r>
          </w:p>
          <w:p w:rsidR="00821C42" w:rsidRPr="00E966CA" w:rsidRDefault="0088303C" w:rsidP="005A4D24">
            <w:pPr>
              <w:spacing w:after="0" w:line="240" w:lineRule="auto"/>
            </w:pPr>
            <w:hyperlink r:id="rId13" w:tgtFrame="_blank" w:history="1">
              <w:r w:rsidR="00821C42" w:rsidRPr="00E966CA">
                <w:rPr>
                  <w:rStyle w:val="Hyperlink"/>
                </w:rPr>
                <w:t xml:space="preserve">For more information, click here </w:t>
              </w:r>
            </w:hyperlink>
          </w:p>
        </w:tc>
      </w:tr>
      <w:tr w:rsidR="00821C42" w:rsidRPr="00E966CA" w:rsidTr="005A4D24">
        <w:trPr>
          <w:trHeight w:val="453"/>
        </w:trPr>
        <w:tc>
          <w:tcPr>
            <w:tcW w:w="0" w:type="auto"/>
            <w:tcMar>
              <w:top w:w="135" w:type="dxa"/>
              <w:left w:w="195" w:type="dxa"/>
              <w:bottom w:w="150" w:type="dxa"/>
              <w:right w:w="120" w:type="dxa"/>
            </w:tcMar>
            <w:vAlign w:val="center"/>
            <w:hideMark/>
          </w:tcPr>
          <w:p w:rsidR="00821C42" w:rsidRPr="00E966CA" w:rsidRDefault="00821C42" w:rsidP="005A4D24">
            <w:pPr>
              <w:spacing w:after="0" w:line="240" w:lineRule="auto"/>
            </w:pPr>
            <w:r w:rsidRPr="00E966CA">
              <w:t>Intensive Schools</w:t>
            </w:r>
          </w:p>
        </w:tc>
        <w:tc>
          <w:tcPr>
            <w:tcW w:w="0" w:type="auto"/>
            <w:tcMar>
              <w:top w:w="135" w:type="dxa"/>
              <w:left w:w="195" w:type="dxa"/>
              <w:bottom w:w="150" w:type="dxa"/>
              <w:right w:w="120" w:type="dxa"/>
            </w:tcMar>
            <w:vAlign w:val="center"/>
            <w:hideMark/>
          </w:tcPr>
          <w:p w:rsidR="00821C42" w:rsidRPr="00E966CA" w:rsidRDefault="00821C42" w:rsidP="005A4D24">
            <w:pPr>
              <w:spacing w:after="0" w:line="240" w:lineRule="auto"/>
            </w:pPr>
            <w:r w:rsidRPr="00E966CA">
              <w:t>There are no mandatory intensive schools in the Bachelor of Laws (3 Years).</w:t>
            </w:r>
          </w:p>
        </w:tc>
      </w:tr>
      <w:tr w:rsidR="00821C42" w:rsidRPr="00E966CA" w:rsidTr="002D3B7E">
        <w:trPr>
          <w:trHeight w:val="3032"/>
        </w:trPr>
        <w:tc>
          <w:tcPr>
            <w:tcW w:w="0" w:type="auto"/>
            <w:tcMar>
              <w:top w:w="135" w:type="dxa"/>
              <w:left w:w="195" w:type="dxa"/>
              <w:bottom w:w="150" w:type="dxa"/>
              <w:right w:w="120" w:type="dxa"/>
            </w:tcMar>
            <w:hideMark/>
          </w:tcPr>
          <w:p w:rsidR="00821C42" w:rsidRPr="00E966CA" w:rsidRDefault="00821C42" w:rsidP="002D3B7E">
            <w:pPr>
              <w:spacing w:after="0" w:line="240" w:lineRule="auto"/>
            </w:pPr>
            <w:r w:rsidRPr="00E966CA">
              <w:t>Entry Requirements</w:t>
            </w:r>
          </w:p>
        </w:tc>
        <w:tc>
          <w:tcPr>
            <w:tcW w:w="0" w:type="auto"/>
            <w:tcMar>
              <w:top w:w="135" w:type="dxa"/>
              <w:left w:w="195" w:type="dxa"/>
              <w:bottom w:w="150" w:type="dxa"/>
              <w:right w:w="120" w:type="dxa"/>
            </w:tcMar>
            <w:vAlign w:val="center"/>
            <w:hideMark/>
          </w:tcPr>
          <w:p w:rsidR="00821C42" w:rsidRPr="00E966CA" w:rsidRDefault="00821C42" w:rsidP="002D3B7E">
            <w:pPr>
              <w:spacing w:after="60" w:line="240" w:lineRule="auto"/>
            </w:pPr>
            <w:r w:rsidRPr="00E966CA">
              <w:t xml:space="preserve">(a) A graduate candidate shall hold at least a three year degree (AQF Level 7) of a </w:t>
            </w:r>
            <w:proofErr w:type="spellStart"/>
            <w:r w:rsidRPr="00E966CA">
              <w:t>recognised</w:t>
            </w:r>
            <w:proofErr w:type="spellEnd"/>
            <w:r w:rsidRPr="00E966CA">
              <w:t xml:space="preserve"> university or equivalent.</w:t>
            </w:r>
          </w:p>
          <w:p w:rsidR="00821C42" w:rsidRPr="00E966CA" w:rsidRDefault="002D3B7E" w:rsidP="002D3B7E">
            <w:pPr>
              <w:spacing w:after="60" w:line="240" w:lineRule="auto"/>
            </w:pPr>
            <w:r w:rsidRPr="00642B66">
              <w:t>(b) An undergraduate candidate shall be qualified for admission (see</w:t>
            </w:r>
            <w:r w:rsidRPr="00642B66">
              <w:rPr>
                <w:rStyle w:val="apple-converted-space"/>
              </w:rPr>
              <w:t xml:space="preserve"> </w:t>
            </w:r>
            <w:hyperlink r:id="rId14" w:tgtFrame="_blank" w:history="1">
              <w:r w:rsidRPr="00642B66">
                <w:rPr>
                  <w:rStyle w:val="Hyperlink"/>
                  <w:i/>
                  <w:iCs/>
                  <w:color w:val="auto"/>
                </w:rPr>
                <w:t>Admission Undergraduate and Postgraduate (Coursework) Rule</w:t>
              </w:r>
            </w:hyperlink>
            <w:r w:rsidRPr="00642B66">
              <w:rPr>
                <w:rStyle w:val="apple-converted-space"/>
              </w:rPr>
              <w:t xml:space="preserve"> </w:t>
            </w:r>
            <w:r w:rsidRPr="00642B66">
              <w:t>and</w:t>
            </w:r>
            <w:r w:rsidRPr="00642B66">
              <w:rPr>
                <w:rStyle w:val="apple-converted-space"/>
              </w:rPr>
              <w:t xml:space="preserve"> </w:t>
            </w:r>
            <w:hyperlink r:id="rId15" w:tgtFrame="_blank" w:history="1">
              <w:r w:rsidRPr="00642B66">
                <w:rPr>
                  <w:rStyle w:val="Hyperlink"/>
                  <w:i/>
                  <w:iCs/>
                  <w:color w:val="auto"/>
                </w:rPr>
                <w:t>Admission Undergraduate and Postgraduate (Coursework) Procedures</w:t>
              </w:r>
            </w:hyperlink>
            <w:r w:rsidRPr="00642B66">
              <w:t>).</w:t>
            </w:r>
          </w:p>
          <w:p w:rsidR="00821C42" w:rsidRPr="00E966CA" w:rsidRDefault="00821C42" w:rsidP="005A4D24">
            <w:pPr>
              <w:spacing w:after="0" w:line="240" w:lineRule="auto"/>
            </w:pPr>
            <w:r w:rsidRPr="00E966CA">
              <w:t>This course from 2016 will be available to Year 12 applicants with an ATAR or equivalent of at least 90.00. Assumed knowledge is any two units of English. Year 12 applicants who completed prior to 2015 may apply as well as applicants who have undertaken a Diploma or above qualification with sufficient grades. Please note that Regional Bonus Points do not apply to this course.</w:t>
            </w:r>
          </w:p>
          <w:p w:rsidR="00821C42" w:rsidRPr="00E966CA" w:rsidRDefault="00821C42" w:rsidP="005A4D24">
            <w:pPr>
              <w:spacing w:after="0" w:line="240" w:lineRule="auto"/>
            </w:pPr>
            <w:r w:rsidRPr="00E966CA">
              <w:t>A sound knowledge of English is essential.</w:t>
            </w:r>
          </w:p>
        </w:tc>
      </w:tr>
      <w:tr w:rsidR="00821C42" w:rsidRPr="00E966CA" w:rsidTr="002D3B7E">
        <w:trPr>
          <w:trHeight w:val="1207"/>
        </w:trPr>
        <w:tc>
          <w:tcPr>
            <w:tcW w:w="0" w:type="auto"/>
            <w:tcMar>
              <w:top w:w="135" w:type="dxa"/>
              <w:left w:w="195" w:type="dxa"/>
              <w:bottom w:w="150" w:type="dxa"/>
              <w:right w:w="120" w:type="dxa"/>
            </w:tcMar>
            <w:hideMark/>
          </w:tcPr>
          <w:p w:rsidR="00821C42" w:rsidRPr="00E966CA" w:rsidRDefault="00821C42" w:rsidP="002D3B7E">
            <w:pPr>
              <w:spacing w:after="0" w:line="240" w:lineRule="auto"/>
            </w:pPr>
            <w:r w:rsidRPr="00E966CA">
              <w:t>Advanced Standing</w:t>
            </w:r>
          </w:p>
        </w:tc>
        <w:tc>
          <w:tcPr>
            <w:tcW w:w="0" w:type="auto"/>
            <w:tcMar>
              <w:top w:w="135" w:type="dxa"/>
              <w:left w:w="195" w:type="dxa"/>
              <w:bottom w:w="150" w:type="dxa"/>
              <w:right w:w="120" w:type="dxa"/>
            </w:tcMar>
            <w:vAlign w:val="center"/>
            <w:hideMark/>
          </w:tcPr>
          <w:p w:rsidR="00821C42" w:rsidRPr="00E966CA" w:rsidRDefault="00821C42" w:rsidP="005A4D24">
            <w:pPr>
              <w:spacing w:after="0" w:line="240" w:lineRule="auto"/>
            </w:pPr>
            <w:r w:rsidRPr="00E966CA">
              <w:t xml:space="preserve">Candidates are referred to the University Policy on </w:t>
            </w:r>
            <w:hyperlink r:id="rId16" w:history="1">
              <w:r w:rsidR="002D3B7E" w:rsidRPr="006A2508">
                <w:rPr>
                  <w:rStyle w:val="Hyperlink"/>
                  <w:i/>
                  <w:iCs/>
                  <w:color w:val="auto"/>
                </w:rPr>
                <w:t>Advanced Standing</w:t>
              </w:r>
            </w:hyperlink>
            <w:r w:rsidRPr="00E966CA">
              <w:t>.</w:t>
            </w:r>
          </w:p>
          <w:p w:rsidR="00821C42" w:rsidRPr="00E966CA" w:rsidRDefault="00821C42" w:rsidP="005A4D24">
            <w:pPr>
              <w:spacing w:after="0" w:line="240" w:lineRule="auto"/>
            </w:pPr>
            <w:r w:rsidRPr="00E966CA">
              <w:t>It is not possible to award advanced standing on the basis of work experience due to professional accreditation rules or to studies that were completed in a course other than one leading to admission as a legal practitioner or to a unit that is not listed in a course leading to admission as a legal practitioner.</w:t>
            </w:r>
          </w:p>
        </w:tc>
      </w:tr>
      <w:tr w:rsidR="00821C42" w:rsidRPr="00E966CA" w:rsidTr="002D3B7E">
        <w:trPr>
          <w:trHeight w:val="422"/>
        </w:trPr>
        <w:tc>
          <w:tcPr>
            <w:tcW w:w="0" w:type="auto"/>
            <w:tcMar>
              <w:top w:w="135" w:type="dxa"/>
              <w:left w:w="195" w:type="dxa"/>
              <w:bottom w:w="150" w:type="dxa"/>
              <w:right w:w="120" w:type="dxa"/>
            </w:tcMar>
            <w:hideMark/>
          </w:tcPr>
          <w:p w:rsidR="00821C42" w:rsidRPr="00E966CA" w:rsidRDefault="00821C42" w:rsidP="002D3B7E">
            <w:pPr>
              <w:spacing w:after="0" w:line="240" w:lineRule="auto"/>
            </w:pPr>
            <w:r w:rsidRPr="00E966CA">
              <w:t>Scholarships</w:t>
            </w:r>
          </w:p>
        </w:tc>
        <w:tc>
          <w:tcPr>
            <w:tcW w:w="0" w:type="auto"/>
            <w:tcMar>
              <w:top w:w="135" w:type="dxa"/>
              <w:left w:w="195" w:type="dxa"/>
              <w:bottom w:w="150" w:type="dxa"/>
              <w:right w:w="120" w:type="dxa"/>
            </w:tcMar>
            <w:vAlign w:val="center"/>
            <w:hideMark/>
          </w:tcPr>
          <w:p w:rsidR="00821C42" w:rsidRPr="00E966CA" w:rsidRDefault="00821C42" w:rsidP="005A4D24">
            <w:pPr>
              <w:spacing w:after="0" w:line="240" w:lineRule="auto"/>
            </w:pPr>
            <w:r w:rsidRPr="00E966CA">
              <w:t>The University offers a number of faculty/college and country scholarships available to Australian citizens and permanent residents.</w:t>
            </w:r>
          </w:p>
        </w:tc>
      </w:tr>
      <w:tr w:rsidR="00821C42" w:rsidRPr="00E966CA" w:rsidTr="005A4D24">
        <w:trPr>
          <w:trHeight w:val="462"/>
        </w:trPr>
        <w:tc>
          <w:tcPr>
            <w:tcW w:w="0" w:type="auto"/>
            <w:tcMar>
              <w:top w:w="135" w:type="dxa"/>
              <w:left w:w="195" w:type="dxa"/>
              <w:bottom w:w="150" w:type="dxa"/>
              <w:right w:w="120" w:type="dxa"/>
            </w:tcMar>
            <w:vAlign w:val="center"/>
            <w:hideMark/>
          </w:tcPr>
          <w:p w:rsidR="00821C42" w:rsidRPr="00E966CA" w:rsidRDefault="00821C42" w:rsidP="005A4D24">
            <w:pPr>
              <w:spacing w:after="0" w:line="240" w:lineRule="auto"/>
            </w:pPr>
            <w:r w:rsidRPr="00E966CA">
              <w:t xml:space="preserve">Academic </w:t>
            </w:r>
            <w:proofErr w:type="spellStart"/>
            <w:r w:rsidRPr="00E966CA">
              <w:t>Colours</w:t>
            </w:r>
            <w:proofErr w:type="spellEnd"/>
          </w:p>
        </w:tc>
        <w:tc>
          <w:tcPr>
            <w:tcW w:w="0" w:type="auto"/>
            <w:tcMar>
              <w:top w:w="135" w:type="dxa"/>
              <w:left w:w="195" w:type="dxa"/>
              <w:bottom w:w="150" w:type="dxa"/>
              <w:right w:w="120" w:type="dxa"/>
            </w:tcMar>
            <w:vAlign w:val="center"/>
            <w:hideMark/>
          </w:tcPr>
          <w:p w:rsidR="00821C42" w:rsidRPr="00E966CA" w:rsidRDefault="00821C42" w:rsidP="005A4D24">
            <w:pPr>
              <w:spacing w:after="0" w:line="240" w:lineRule="auto"/>
            </w:pPr>
            <w:r w:rsidRPr="00E966CA">
              <w:t>Ultramarine (BCC 148)</w:t>
            </w:r>
          </w:p>
        </w:tc>
      </w:tr>
      <w:tr w:rsidR="00821C42" w:rsidRPr="00E966CA" w:rsidTr="005A4D24">
        <w:trPr>
          <w:trHeight w:val="913"/>
        </w:trPr>
        <w:tc>
          <w:tcPr>
            <w:tcW w:w="0" w:type="auto"/>
            <w:tcMar>
              <w:top w:w="135" w:type="dxa"/>
              <w:left w:w="195" w:type="dxa"/>
              <w:bottom w:w="150" w:type="dxa"/>
              <w:right w:w="120" w:type="dxa"/>
            </w:tcMar>
            <w:vAlign w:val="center"/>
            <w:hideMark/>
          </w:tcPr>
          <w:p w:rsidR="00821C42" w:rsidRPr="00E966CA" w:rsidRDefault="00821C42" w:rsidP="005A4D24">
            <w:pPr>
              <w:spacing w:after="0" w:line="240" w:lineRule="auto"/>
            </w:pPr>
            <w:r w:rsidRPr="00E966CA">
              <w:t>Further Information</w:t>
            </w:r>
          </w:p>
        </w:tc>
        <w:tc>
          <w:tcPr>
            <w:tcW w:w="0" w:type="auto"/>
            <w:tcMar>
              <w:top w:w="135" w:type="dxa"/>
              <w:left w:w="195" w:type="dxa"/>
              <w:bottom w:w="150" w:type="dxa"/>
              <w:right w:w="120" w:type="dxa"/>
            </w:tcMar>
            <w:vAlign w:val="center"/>
            <w:hideMark/>
          </w:tcPr>
          <w:p w:rsidR="00821C42" w:rsidRPr="00E966CA" w:rsidRDefault="00821C42" w:rsidP="005A4D24">
            <w:pPr>
              <w:spacing w:line="240" w:lineRule="auto"/>
            </w:pPr>
            <w:r w:rsidRPr="00E966CA">
              <w:rPr>
                <w:noProof/>
                <w:lang w:val="en-AU" w:eastAsia="en-AU"/>
              </w:rPr>
              <w:drawing>
                <wp:inline distT="0" distB="0" distL="0" distR="0" wp14:anchorId="72C16DCC" wp14:editId="019E32A9">
                  <wp:extent cx="1095375" cy="465999"/>
                  <wp:effectExtent l="0" t="0" r="0" b="0"/>
                  <wp:docPr id="3" name="Picture 3" descr="https://static.une.edu.au/images/askune_logo_colour.png">
                    <a:hlinkClick xmlns:a="http://schemas.openxmlformats.org/drawingml/2006/main" r:id="rId17" tgtFrame="&quot;_blank&quot;" tooltip="&quot;AskU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static.une.edu.au/images/askune_logo_colour.png">
                            <a:hlinkClick r:id="rId17" tgtFrame="&quot;_blank&quot;" tooltip="&quot;AskUN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22109" cy="477372"/>
                          </a:xfrm>
                          <a:prstGeom prst="rect">
                            <a:avLst/>
                          </a:prstGeom>
                          <a:noFill/>
                          <a:ln>
                            <a:noFill/>
                          </a:ln>
                        </pic:spPr>
                      </pic:pic>
                    </a:graphicData>
                  </a:graphic>
                </wp:inline>
              </w:drawing>
            </w:r>
          </w:p>
          <w:p w:rsidR="00821C42" w:rsidRPr="00E966CA" w:rsidRDefault="00821C42" w:rsidP="005A4D24">
            <w:pPr>
              <w:spacing w:after="0" w:line="240" w:lineRule="auto"/>
            </w:pPr>
            <w:r w:rsidRPr="00E966CA">
              <w:t xml:space="preserve">You can find instant answers to many of your questions or contact UNE directly via </w:t>
            </w:r>
            <w:hyperlink r:id="rId19" w:tgtFrame="_blank" w:tooltip="AskUNE" w:history="1">
              <w:proofErr w:type="spellStart"/>
              <w:r w:rsidRPr="00E966CA">
                <w:rPr>
                  <w:rStyle w:val="Hyperlink"/>
                </w:rPr>
                <w:t>AskUNE</w:t>
              </w:r>
              <w:proofErr w:type="spellEnd"/>
            </w:hyperlink>
            <w:r w:rsidRPr="00E966CA">
              <w:t xml:space="preserve"> </w:t>
            </w:r>
          </w:p>
        </w:tc>
      </w:tr>
    </w:tbl>
    <w:p w:rsidR="00821C42" w:rsidRPr="00CC2EA9" w:rsidRDefault="00821C42" w:rsidP="00CC2EA9">
      <w:pPr>
        <w:pStyle w:val="NormalWeb"/>
        <w:spacing w:before="0" w:beforeAutospacing="0" w:after="120" w:afterAutospacing="0"/>
        <w:rPr>
          <w:rFonts w:ascii="Lucida Sans" w:hAnsi="Lucida Sans" w:cs="Times New Roman"/>
          <w:color w:val="000000"/>
          <w:sz w:val="20"/>
          <w:szCs w:val="20"/>
        </w:rPr>
      </w:pPr>
    </w:p>
    <w:p w:rsidR="00CE1008" w:rsidRDefault="00CE1008" w:rsidP="00F25690">
      <w:pPr>
        <w:pStyle w:val="NormalWeb"/>
        <w:spacing w:before="0" w:beforeAutospacing="0" w:after="0" w:afterAutospacing="0"/>
        <w:rPr>
          <w:rFonts w:ascii="Lucida Sans" w:hAnsi="Lucida Sans" w:cs="Times New Roman"/>
          <w:color w:val="000000"/>
          <w:sz w:val="20"/>
          <w:szCs w:val="20"/>
        </w:rPr>
      </w:pPr>
    </w:p>
    <w:p w:rsidR="00CE1008" w:rsidRPr="00E966CA" w:rsidRDefault="0088303C" w:rsidP="00CE1008">
      <w:pPr>
        <w:rPr>
          <w:b/>
          <w:bCs/>
          <w:lang w:val="en"/>
        </w:rPr>
      </w:pPr>
      <w:hyperlink r:id="rId20" w:history="1">
        <w:r w:rsidR="00CE1008" w:rsidRPr="00E966CA">
          <w:rPr>
            <w:rStyle w:val="Hyperlink"/>
            <w:b/>
            <w:bCs/>
            <w:lang w:val="en"/>
          </w:rPr>
          <w:t>Bachelor of Laws (3 Years)</w:t>
        </w:r>
      </w:hyperlink>
    </w:p>
    <w:p w:rsidR="00CE1008" w:rsidRDefault="00CE1008" w:rsidP="00CE1008">
      <w:pPr>
        <w:rPr>
          <w:lang w:val="en"/>
        </w:rPr>
      </w:pPr>
      <w:r w:rsidRPr="00E966CA">
        <w:rPr>
          <w:lang w:val="en"/>
        </w:rPr>
        <w:t>For candidates admitted under Rule (b)</w:t>
      </w:r>
    </w:p>
    <w:tbl>
      <w:tblPr>
        <w:tblW w:w="9980"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1553"/>
        <w:gridCol w:w="6237"/>
        <w:gridCol w:w="1133"/>
        <w:gridCol w:w="1031"/>
        <w:gridCol w:w="26"/>
      </w:tblGrid>
      <w:tr w:rsidR="00C45BED" w:rsidRPr="00821C42" w:rsidTr="002D3B7E">
        <w:trPr>
          <w:gridAfter w:val="1"/>
          <w:wAfter w:w="26" w:type="dxa"/>
        </w:trPr>
        <w:tc>
          <w:tcPr>
            <w:tcW w:w="7790" w:type="dxa"/>
            <w:gridSpan w:val="2"/>
            <w:tcBorders>
              <w:top w:val="single" w:sz="6" w:space="0" w:color="999999"/>
              <w:left w:val="single" w:sz="6" w:space="0" w:color="999999"/>
              <w:bottom w:val="single" w:sz="6" w:space="0" w:color="999999"/>
              <w:right w:val="single" w:sz="6" w:space="0" w:color="999999"/>
            </w:tcBorders>
            <w:shd w:val="clear" w:color="auto" w:fill="1E1E1E"/>
            <w:tcMar>
              <w:top w:w="210" w:type="dxa"/>
              <w:left w:w="195" w:type="dxa"/>
              <w:bottom w:w="195" w:type="dxa"/>
              <w:right w:w="120" w:type="dxa"/>
            </w:tcMar>
            <w:vAlign w:val="bottom"/>
            <w:hideMark/>
          </w:tcPr>
          <w:p w:rsidR="00C45BED" w:rsidRPr="00821C42" w:rsidRDefault="00C45BED">
            <w:pPr>
              <w:spacing w:line="332" w:lineRule="atLeast"/>
              <w:rPr>
                <w:rFonts w:cs="Arial"/>
                <w:b/>
                <w:bCs/>
                <w:color w:val="FFFFFF"/>
                <w:spacing w:val="-4"/>
              </w:rPr>
            </w:pPr>
            <w:r w:rsidRPr="00821C42">
              <w:rPr>
                <w:rFonts w:cs="Arial"/>
                <w:b/>
                <w:bCs/>
                <w:color w:val="FFFFFF"/>
                <w:spacing w:val="-4"/>
              </w:rPr>
              <w:t>Program of Study</w:t>
            </w:r>
          </w:p>
        </w:tc>
        <w:tc>
          <w:tcPr>
            <w:tcW w:w="2164" w:type="dxa"/>
            <w:gridSpan w:val="2"/>
            <w:tcBorders>
              <w:top w:val="single" w:sz="6" w:space="0" w:color="999999"/>
              <w:left w:val="single" w:sz="6" w:space="0" w:color="999999"/>
              <w:bottom w:val="single" w:sz="6" w:space="0" w:color="999999"/>
              <w:right w:val="single" w:sz="6" w:space="0" w:color="999999"/>
            </w:tcBorders>
            <w:shd w:val="clear" w:color="auto" w:fill="1E1E1E"/>
            <w:tcMar>
              <w:top w:w="210" w:type="dxa"/>
              <w:left w:w="195" w:type="dxa"/>
              <w:bottom w:w="195" w:type="dxa"/>
              <w:right w:w="120" w:type="dxa"/>
            </w:tcMar>
            <w:vAlign w:val="bottom"/>
            <w:hideMark/>
          </w:tcPr>
          <w:p w:rsidR="00C45BED" w:rsidRPr="00821C42" w:rsidRDefault="00C45BED">
            <w:pPr>
              <w:spacing w:line="332" w:lineRule="atLeast"/>
              <w:rPr>
                <w:rFonts w:cs="Arial"/>
                <w:b/>
                <w:bCs/>
                <w:color w:val="FFFFFF"/>
                <w:spacing w:val="-4"/>
              </w:rPr>
            </w:pPr>
            <w:r w:rsidRPr="00821C42">
              <w:rPr>
                <w:rFonts w:cs="Arial"/>
                <w:b/>
                <w:bCs/>
                <w:color w:val="FFFFFF"/>
                <w:spacing w:val="-4"/>
              </w:rPr>
              <w:t>Course cps</w:t>
            </w:r>
          </w:p>
        </w:tc>
      </w:tr>
      <w:tr w:rsidR="00821C42" w:rsidRPr="00821C42" w:rsidTr="002D3A2B">
        <w:trPr>
          <w:gridAfter w:val="1"/>
          <w:wAfter w:w="26" w:type="dxa"/>
          <w:trHeight w:val="569"/>
        </w:trPr>
        <w:tc>
          <w:tcPr>
            <w:tcW w:w="7790" w:type="dxa"/>
            <w:gridSpan w:val="2"/>
            <w:tcBorders>
              <w:top w:val="nil"/>
              <w:left w:val="nil"/>
              <w:bottom w:val="nil"/>
              <w:right w:val="nil"/>
            </w:tcBorders>
            <w:shd w:val="clear" w:color="auto" w:fill="FFBB55"/>
            <w:tcMar>
              <w:top w:w="135" w:type="dxa"/>
              <w:left w:w="195" w:type="dxa"/>
              <w:bottom w:w="150" w:type="dxa"/>
              <w:right w:w="120" w:type="dxa"/>
            </w:tcMar>
            <w:vAlign w:val="bottom"/>
            <w:hideMark/>
          </w:tcPr>
          <w:p w:rsidR="00C45BED" w:rsidRPr="00821C42" w:rsidRDefault="00C45BED" w:rsidP="002D3A2B">
            <w:pPr>
              <w:spacing w:after="0" w:line="332" w:lineRule="atLeast"/>
              <w:rPr>
                <w:rFonts w:cs="Arial"/>
              </w:rPr>
            </w:pPr>
            <w:r w:rsidRPr="00821C42">
              <w:rPr>
                <w:rStyle w:val="Strong"/>
                <w:rFonts w:cs="Arial"/>
                <w:bdr w:val="none" w:sz="0" w:space="0" w:color="auto" w:frame="1"/>
              </w:rPr>
              <w:t>Core Units</w:t>
            </w:r>
            <w:r w:rsidRPr="00821C42">
              <w:rPr>
                <w:rFonts w:cs="Arial"/>
                <w:b/>
                <w:bCs/>
                <w:bdr w:val="none" w:sz="0" w:space="0" w:color="auto" w:frame="1"/>
              </w:rPr>
              <w:br/>
            </w:r>
            <w:r w:rsidRPr="00821C42">
              <w:rPr>
                <w:rStyle w:val="Strong"/>
                <w:rFonts w:cs="Arial"/>
                <w:bdr w:val="none" w:sz="0" w:space="0" w:color="auto" w:frame="1"/>
              </w:rPr>
              <w:t>Complete the following units:</w:t>
            </w:r>
          </w:p>
        </w:tc>
        <w:tc>
          <w:tcPr>
            <w:tcW w:w="2164" w:type="dxa"/>
            <w:gridSpan w:val="2"/>
            <w:tcBorders>
              <w:top w:val="nil"/>
              <w:left w:val="nil"/>
              <w:bottom w:val="nil"/>
              <w:right w:val="nil"/>
            </w:tcBorders>
            <w:shd w:val="clear" w:color="auto" w:fill="FFBB55"/>
            <w:tcMar>
              <w:top w:w="135" w:type="dxa"/>
              <w:left w:w="195" w:type="dxa"/>
              <w:bottom w:w="150" w:type="dxa"/>
              <w:right w:w="120" w:type="dxa"/>
            </w:tcMar>
            <w:vAlign w:val="bottom"/>
            <w:hideMark/>
          </w:tcPr>
          <w:p w:rsidR="00C45BED" w:rsidRPr="00821C42" w:rsidRDefault="00C45BED" w:rsidP="00C45BED">
            <w:pPr>
              <w:spacing w:line="332" w:lineRule="atLeast"/>
              <w:ind w:left="230"/>
              <w:jc w:val="center"/>
              <w:rPr>
                <w:rFonts w:cs="Arial"/>
              </w:rPr>
            </w:pPr>
            <w:r w:rsidRPr="00821C42">
              <w:rPr>
                <w:rFonts w:cs="Arial"/>
              </w:rPr>
              <w:t>108 cps</w:t>
            </w:r>
          </w:p>
        </w:tc>
      </w:tr>
      <w:tr w:rsidR="002D3B7E" w:rsidRPr="00821C42" w:rsidTr="002D3A2B">
        <w:trPr>
          <w:gridAfter w:val="1"/>
          <w:wAfter w:w="26" w:type="dxa"/>
          <w:trHeight w:val="169"/>
        </w:trPr>
        <w:tc>
          <w:tcPr>
            <w:tcW w:w="1553" w:type="dxa"/>
            <w:tcBorders>
              <w:top w:val="single" w:sz="6" w:space="0" w:color="999999"/>
              <w:left w:val="single" w:sz="6" w:space="0" w:color="999999"/>
              <w:bottom w:val="single" w:sz="6" w:space="0" w:color="999999"/>
              <w:right w:val="single" w:sz="6" w:space="0" w:color="999999"/>
            </w:tcBorders>
            <w:shd w:val="clear" w:color="auto" w:fill="EEEEEE"/>
            <w:noWrap/>
            <w:tcMar>
              <w:top w:w="210" w:type="dxa"/>
              <w:left w:w="195" w:type="dxa"/>
              <w:bottom w:w="195" w:type="dxa"/>
              <w:right w:w="120" w:type="dxa"/>
            </w:tcMar>
            <w:vAlign w:val="center"/>
            <w:hideMark/>
          </w:tcPr>
          <w:p w:rsidR="00C45BED" w:rsidRPr="00821C42" w:rsidRDefault="00C45BED" w:rsidP="002D3A2B">
            <w:pPr>
              <w:spacing w:after="0" w:line="240" w:lineRule="auto"/>
              <w:rPr>
                <w:rFonts w:cs="Arial"/>
                <w:b/>
                <w:bCs/>
                <w:spacing w:val="-4"/>
              </w:rPr>
            </w:pPr>
            <w:r w:rsidRPr="00821C42">
              <w:rPr>
                <w:rFonts w:cs="Arial"/>
                <w:b/>
                <w:bCs/>
                <w:spacing w:val="-4"/>
              </w:rPr>
              <w:t>Unit Code</w:t>
            </w:r>
          </w:p>
        </w:tc>
        <w:tc>
          <w:tcPr>
            <w:tcW w:w="6237" w:type="dxa"/>
            <w:tcBorders>
              <w:top w:val="single" w:sz="6" w:space="0" w:color="999999"/>
              <w:left w:val="single" w:sz="6" w:space="0" w:color="999999"/>
              <w:bottom w:val="single" w:sz="6" w:space="0" w:color="999999"/>
              <w:right w:val="single" w:sz="6" w:space="0" w:color="999999"/>
            </w:tcBorders>
            <w:shd w:val="clear" w:color="auto" w:fill="EEEEEE"/>
            <w:noWrap/>
            <w:tcMar>
              <w:top w:w="210" w:type="dxa"/>
              <w:left w:w="195" w:type="dxa"/>
              <w:bottom w:w="195" w:type="dxa"/>
              <w:right w:w="120" w:type="dxa"/>
            </w:tcMar>
            <w:vAlign w:val="center"/>
            <w:hideMark/>
          </w:tcPr>
          <w:p w:rsidR="00C45BED" w:rsidRPr="00821C42" w:rsidRDefault="00C45BED" w:rsidP="002D3A2B">
            <w:pPr>
              <w:spacing w:after="0" w:line="240" w:lineRule="auto"/>
              <w:rPr>
                <w:rFonts w:cs="Arial"/>
                <w:b/>
                <w:bCs/>
                <w:spacing w:val="-4"/>
              </w:rPr>
            </w:pPr>
            <w:r w:rsidRPr="00821C42">
              <w:rPr>
                <w:rFonts w:cs="Arial"/>
                <w:b/>
                <w:bCs/>
                <w:spacing w:val="-4"/>
              </w:rPr>
              <w:t>Unit Title</w:t>
            </w:r>
          </w:p>
        </w:tc>
        <w:tc>
          <w:tcPr>
            <w:tcW w:w="1133" w:type="dxa"/>
            <w:tcBorders>
              <w:top w:val="single" w:sz="6" w:space="0" w:color="999999"/>
              <w:left w:val="single" w:sz="6" w:space="0" w:color="999999"/>
              <w:bottom w:val="single" w:sz="6" w:space="0" w:color="999999"/>
              <w:right w:val="single" w:sz="6" w:space="0" w:color="999999"/>
            </w:tcBorders>
            <w:shd w:val="clear" w:color="auto" w:fill="EEEEEE"/>
            <w:noWrap/>
            <w:tcMar>
              <w:top w:w="210" w:type="dxa"/>
              <w:left w:w="195" w:type="dxa"/>
              <w:bottom w:w="195" w:type="dxa"/>
              <w:right w:w="120" w:type="dxa"/>
            </w:tcMar>
            <w:vAlign w:val="center"/>
            <w:hideMark/>
          </w:tcPr>
          <w:p w:rsidR="00C45BED" w:rsidRPr="00821C42" w:rsidRDefault="00C45BED" w:rsidP="002D3A2B">
            <w:pPr>
              <w:spacing w:after="0" w:line="240" w:lineRule="auto"/>
              <w:rPr>
                <w:rFonts w:cs="Arial"/>
                <w:b/>
                <w:bCs/>
                <w:spacing w:val="-4"/>
              </w:rPr>
            </w:pPr>
            <w:r w:rsidRPr="00821C42">
              <w:rPr>
                <w:rFonts w:cs="Arial"/>
                <w:b/>
                <w:bCs/>
                <w:spacing w:val="-4"/>
              </w:rPr>
              <w:t>Unit cps</w:t>
            </w:r>
          </w:p>
        </w:tc>
        <w:tc>
          <w:tcPr>
            <w:tcW w:w="1031" w:type="dxa"/>
            <w:tcBorders>
              <w:top w:val="nil"/>
              <w:left w:val="nil"/>
              <w:bottom w:val="nil"/>
              <w:right w:val="nil"/>
            </w:tcBorders>
            <w:shd w:val="clear" w:color="auto" w:fill="FFBB55"/>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rPr>
          <w:gridAfter w:val="1"/>
          <w:wAfter w:w="26" w:type="dxa"/>
        </w:trPr>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LAW100</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Introduction to Legal Systems and Methods</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31" w:type="dxa"/>
            <w:tcBorders>
              <w:top w:val="nil"/>
              <w:left w:val="nil"/>
              <w:bottom w:val="nil"/>
              <w:right w:val="nil"/>
            </w:tcBorders>
            <w:shd w:val="clear" w:color="auto" w:fill="FFBB55"/>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rPr>
          <w:gridAfter w:val="1"/>
          <w:wAfter w:w="26" w:type="dxa"/>
        </w:trPr>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LAW101</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 in Context</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31" w:type="dxa"/>
            <w:tcBorders>
              <w:top w:val="nil"/>
              <w:left w:val="nil"/>
              <w:bottom w:val="nil"/>
              <w:right w:val="nil"/>
            </w:tcBorders>
            <w:shd w:val="clear" w:color="auto" w:fill="FFBB55"/>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rPr>
          <w:gridAfter w:val="1"/>
          <w:wAfter w:w="26" w:type="dxa"/>
        </w:trPr>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LAW161</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Criminal Law</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31" w:type="dxa"/>
            <w:tcBorders>
              <w:top w:val="nil"/>
              <w:left w:val="nil"/>
              <w:bottom w:val="nil"/>
              <w:right w:val="nil"/>
            </w:tcBorders>
            <w:shd w:val="clear" w:color="auto" w:fill="FFBB55"/>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rPr>
          <w:gridAfter w:val="1"/>
          <w:wAfter w:w="26" w:type="dxa"/>
        </w:trPr>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LAW171</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 of Contract I</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31" w:type="dxa"/>
            <w:tcBorders>
              <w:top w:val="nil"/>
              <w:left w:val="nil"/>
              <w:bottom w:val="nil"/>
              <w:right w:val="nil"/>
            </w:tcBorders>
            <w:shd w:val="clear" w:color="auto" w:fill="FFBB55"/>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rPr>
          <w:gridAfter w:val="1"/>
          <w:wAfter w:w="26" w:type="dxa"/>
        </w:trPr>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LAW220</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Constitutional Law</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31" w:type="dxa"/>
            <w:tcBorders>
              <w:top w:val="nil"/>
              <w:left w:val="nil"/>
              <w:bottom w:val="nil"/>
              <w:right w:val="nil"/>
            </w:tcBorders>
            <w:shd w:val="clear" w:color="auto" w:fill="FFBB55"/>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rPr>
          <w:gridAfter w:val="1"/>
          <w:wAfter w:w="26" w:type="dxa"/>
        </w:trPr>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LAW231</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 of Torts I</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31" w:type="dxa"/>
            <w:tcBorders>
              <w:top w:val="nil"/>
              <w:left w:val="nil"/>
              <w:bottom w:val="nil"/>
              <w:right w:val="nil"/>
            </w:tcBorders>
            <w:shd w:val="clear" w:color="auto" w:fill="FFBB55"/>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rPr>
          <w:gridAfter w:val="1"/>
          <w:wAfter w:w="26" w:type="dxa"/>
        </w:trPr>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LAW232</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 of Torts II</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31" w:type="dxa"/>
            <w:tcBorders>
              <w:top w:val="nil"/>
              <w:left w:val="nil"/>
              <w:bottom w:val="nil"/>
              <w:right w:val="nil"/>
            </w:tcBorders>
            <w:shd w:val="clear" w:color="auto" w:fill="FFBB55"/>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rPr>
          <w:gridAfter w:val="1"/>
          <w:wAfter w:w="26" w:type="dxa"/>
        </w:trPr>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LAW251</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Corporation Law</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31" w:type="dxa"/>
            <w:tcBorders>
              <w:top w:val="nil"/>
              <w:left w:val="nil"/>
              <w:bottom w:val="nil"/>
              <w:right w:val="nil"/>
            </w:tcBorders>
            <w:shd w:val="clear" w:color="auto" w:fill="FFBB55"/>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rPr>
          <w:gridAfter w:val="1"/>
          <w:wAfter w:w="26" w:type="dxa"/>
        </w:trPr>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LAW272</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 of Contract II</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31" w:type="dxa"/>
            <w:tcBorders>
              <w:top w:val="nil"/>
              <w:left w:val="nil"/>
              <w:bottom w:val="nil"/>
              <w:right w:val="nil"/>
            </w:tcBorders>
            <w:shd w:val="clear" w:color="auto" w:fill="FFBB55"/>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rPr>
          <w:gridAfter w:val="1"/>
          <w:wAfter w:w="26" w:type="dxa"/>
        </w:trPr>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LAW281</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Property Law I</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31" w:type="dxa"/>
            <w:tcBorders>
              <w:top w:val="nil"/>
              <w:left w:val="nil"/>
              <w:bottom w:val="nil"/>
              <w:right w:val="nil"/>
            </w:tcBorders>
            <w:shd w:val="clear" w:color="auto" w:fill="FFBB55"/>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rPr>
          <w:gridAfter w:val="1"/>
          <w:wAfter w:w="26" w:type="dxa"/>
        </w:trPr>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LAW282</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Property Law II</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31" w:type="dxa"/>
            <w:tcBorders>
              <w:top w:val="nil"/>
              <w:left w:val="nil"/>
              <w:bottom w:val="nil"/>
              <w:right w:val="nil"/>
            </w:tcBorders>
            <w:shd w:val="clear" w:color="auto" w:fill="FFBB55"/>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rPr>
          <w:gridAfter w:val="1"/>
          <w:wAfter w:w="26" w:type="dxa"/>
        </w:trPr>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LAW312</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Criminal and Civil Procedure</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31" w:type="dxa"/>
            <w:tcBorders>
              <w:top w:val="nil"/>
              <w:left w:val="nil"/>
              <w:bottom w:val="nil"/>
              <w:right w:val="nil"/>
            </w:tcBorders>
            <w:shd w:val="clear" w:color="auto" w:fill="FFBB55"/>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rPr>
          <w:gridAfter w:val="1"/>
          <w:wAfter w:w="26" w:type="dxa"/>
        </w:trPr>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lastRenderedPageBreak/>
              <w:t>LAW313</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Evidence and Proof</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31" w:type="dxa"/>
            <w:tcBorders>
              <w:top w:val="nil"/>
              <w:left w:val="nil"/>
              <w:bottom w:val="nil"/>
              <w:right w:val="nil"/>
            </w:tcBorders>
            <w:shd w:val="clear" w:color="auto" w:fill="FFBB55"/>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rPr>
          <w:gridAfter w:val="1"/>
          <w:wAfter w:w="26" w:type="dxa"/>
        </w:trPr>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LAW320</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Professional Conduct</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31" w:type="dxa"/>
            <w:tcBorders>
              <w:top w:val="nil"/>
              <w:left w:val="nil"/>
              <w:bottom w:val="nil"/>
              <w:right w:val="nil"/>
            </w:tcBorders>
            <w:shd w:val="clear" w:color="auto" w:fill="FFBB55"/>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rPr>
          <w:gridAfter w:val="1"/>
          <w:wAfter w:w="26" w:type="dxa"/>
        </w:trPr>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LAW340</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Equity and Trusts</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31" w:type="dxa"/>
            <w:tcBorders>
              <w:top w:val="nil"/>
              <w:left w:val="nil"/>
              <w:bottom w:val="nil"/>
              <w:right w:val="nil"/>
            </w:tcBorders>
            <w:shd w:val="clear" w:color="auto" w:fill="FFBB55"/>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rPr>
          <w:gridAfter w:val="1"/>
          <w:wAfter w:w="26" w:type="dxa"/>
        </w:trPr>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LAW400</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Administrative Law</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31" w:type="dxa"/>
            <w:tcBorders>
              <w:top w:val="nil"/>
              <w:left w:val="nil"/>
              <w:bottom w:val="nil"/>
              <w:right w:val="nil"/>
            </w:tcBorders>
            <w:shd w:val="clear" w:color="auto" w:fill="FFBB55"/>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rPr>
          <w:gridAfter w:val="1"/>
          <w:wAfter w:w="26" w:type="dxa"/>
        </w:trPr>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LAW455</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Jurisprudence</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31" w:type="dxa"/>
            <w:tcBorders>
              <w:top w:val="nil"/>
              <w:left w:val="nil"/>
              <w:bottom w:val="nil"/>
              <w:right w:val="nil"/>
            </w:tcBorders>
            <w:shd w:val="clear" w:color="auto" w:fill="FFBB55"/>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rPr>
          <w:gridAfter w:val="1"/>
          <w:wAfter w:w="26" w:type="dxa"/>
        </w:trPr>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LAW480</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Advanced Research, Writing and Advocacy</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31" w:type="dxa"/>
            <w:tcBorders>
              <w:top w:val="nil"/>
              <w:left w:val="nil"/>
              <w:bottom w:val="nil"/>
              <w:right w:val="nil"/>
            </w:tcBorders>
            <w:shd w:val="clear" w:color="auto" w:fill="FFBB55"/>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rPr>
          <w:gridAfter w:val="1"/>
          <w:wAfter w:w="26" w:type="dxa"/>
        </w:trPr>
        <w:tc>
          <w:tcPr>
            <w:tcW w:w="7790"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pStyle w:val="NormalWeb"/>
              <w:spacing w:before="0" w:beforeAutospacing="0" w:after="0" w:afterAutospacing="0"/>
              <w:textAlignment w:val="baseline"/>
              <w:rPr>
                <w:rFonts w:cs="Arial"/>
                <w:sz w:val="22"/>
                <w:szCs w:val="22"/>
              </w:rPr>
            </w:pPr>
            <w:r w:rsidRPr="00821C42">
              <w:rPr>
                <w:rStyle w:val="Strong"/>
                <w:rFonts w:cs="Arial"/>
                <w:sz w:val="22"/>
                <w:szCs w:val="22"/>
                <w:bdr w:val="none" w:sz="0" w:space="0" w:color="auto" w:frame="1"/>
              </w:rPr>
              <w:t>Listed Units</w:t>
            </w:r>
            <w:r w:rsidRPr="00821C42">
              <w:rPr>
                <w:rFonts w:cs="Arial"/>
                <w:b/>
                <w:bCs/>
                <w:sz w:val="22"/>
                <w:szCs w:val="22"/>
                <w:bdr w:val="none" w:sz="0" w:space="0" w:color="auto" w:frame="1"/>
              </w:rPr>
              <w:br/>
            </w:r>
            <w:r w:rsidRPr="00821C42">
              <w:rPr>
                <w:rStyle w:val="Strong"/>
                <w:rFonts w:cs="Arial"/>
                <w:sz w:val="22"/>
                <w:szCs w:val="22"/>
                <w:bdr w:val="none" w:sz="0" w:space="0" w:color="auto" w:frame="1"/>
              </w:rPr>
              <w:t>Complete 36 credit points from the following units:</w:t>
            </w:r>
          </w:p>
        </w:tc>
        <w:tc>
          <w:tcPr>
            <w:tcW w:w="2164"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36 cps</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EEEEEE"/>
            <w:noWrap/>
            <w:tcMar>
              <w:top w:w="210" w:type="dxa"/>
              <w:left w:w="195" w:type="dxa"/>
              <w:bottom w:w="195" w:type="dxa"/>
              <w:right w:w="120" w:type="dxa"/>
            </w:tcMar>
            <w:vAlign w:val="bottom"/>
            <w:hideMark/>
          </w:tcPr>
          <w:p w:rsidR="00C45BED" w:rsidRPr="00821C42" w:rsidRDefault="00C45BED" w:rsidP="002D3A2B">
            <w:pPr>
              <w:spacing w:after="0" w:line="240" w:lineRule="auto"/>
              <w:rPr>
                <w:rFonts w:cs="Arial"/>
                <w:b/>
                <w:bCs/>
                <w:spacing w:val="-4"/>
              </w:rPr>
            </w:pPr>
            <w:r w:rsidRPr="00821C42">
              <w:rPr>
                <w:rFonts w:cs="Arial"/>
                <w:b/>
                <w:bCs/>
                <w:spacing w:val="-4"/>
              </w:rPr>
              <w:t>Unit Code</w:t>
            </w:r>
          </w:p>
        </w:tc>
        <w:tc>
          <w:tcPr>
            <w:tcW w:w="6237" w:type="dxa"/>
            <w:tcBorders>
              <w:top w:val="single" w:sz="6" w:space="0" w:color="999999"/>
              <w:left w:val="single" w:sz="6" w:space="0" w:color="999999"/>
              <w:bottom w:val="single" w:sz="6" w:space="0" w:color="999999"/>
              <w:right w:val="single" w:sz="6" w:space="0" w:color="999999"/>
            </w:tcBorders>
            <w:shd w:val="clear" w:color="auto" w:fill="EEEEEE"/>
            <w:noWrap/>
            <w:tcMar>
              <w:top w:w="210" w:type="dxa"/>
              <w:left w:w="195" w:type="dxa"/>
              <w:bottom w:w="195" w:type="dxa"/>
              <w:right w:w="120" w:type="dxa"/>
            </w:tcMar>
            <w:vAlign w:val="bottom"/>
            <w:hideMark/>
          </w:tcPr>
          <w:p w:rsidR="00C45BED" w:rsidRPr="00821C42" w:rsidRDefault="00C45BED" w:rsidP="002D3A2B">
            <w:pPr>
              <w:spacing w:after="0" w:line="240" w:lineRule="auto"/>
              <w:rPr>
                <w:rFonts w:cs="Arial"/>
                <w:b/>
                <w:bCs/>
                <w:spacing w:val="-4"/>
              </w:rPr>
            </w:pPr>
            <w:r w:rsidRPr="00821C42">
              <w:rPr>
                <w:rFonts w:cs="Arial"/>
                <w:b/>
                <w:bCs/>
                <w:spacing w:val="-4"/>
              </w:rPr>
              <w:t>Unit Title</w:t>
            </w:r>
          </w:p>
        </w:tc>
        <w:tc>
          <w:tcPr>
            <w:tcW w:w="1133" w:type="dxa"/>
            <w:tcBorders>
              <w:top w:val="single" w:sz="6" w:space="0" w:color="999999"/>
              <w:left w:val="single" w:sz="6" w:space="0" w:color="999999"/>
              <w:bottom w:val="single" w:sz="6" w:space="0" w:color="999999"/>
              <w:right w:val="single" w:sz="6" w:space="0" w:color="999999"/>
            </w:tcBorders>
            <w:shd w:val="clear" w:color="auto" w:fill="EEEEEE"/>
            <w:noWrap/>
            <w:tcMar>
              <w:top w:w="210" w:type="dxa"/>
              <w:left w:w="195" w:type="dxa"/>
              <w:bottom w:w="195" w:type="dxa"/>
              <w:right w:w="120" w:type="dxa"/>
            </w:tcMar>
            <w:vAlign w:val="bottom"/>
            <w:hideMark/>
          </w:tcPr>
          <w:p w:rsidR="00C45BED" w:rsidRPr="00821C42" w:rsidRDefault="00C45BED" w:rsidP="002D3A2B">
            <w:pPr>
              <w:spacing w:after="0" w:line="240" w:lineRule="auto"/>
              <w:rPr>
                <w:rFonts w:cs="Arial"/>
                <w:b/>
                <w:bCs/>
                <w:spacing w:val="-4"/>
              </w:rPr>
            </w:pPr>
            <w:r w:rsidRPr="00821C42">
              <w:rPr>
                <w:rFonts w:cs="Arial"/>
                <w:b/>
                <w:bCs/>
                <w:spacing w:val="-4"/>
              </w:rPr>
              <w:t>Unit cps</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LAW157</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Alternative Dispute Resolution</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LAW164</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Indigenous Australians and Law</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LAW201</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Sports Law</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LAW270</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Interviewing for Advocacy</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LAW301</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Succession</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LAW305</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Taxation of Capital Gains</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LAW307</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Comparative Corporate Governance Law</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LAW314</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Advanced Criminal Law</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LAW315</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Criminal Process, Sentencing and Punishment</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lastRenderedPageBreak/>
              <w:t>LAW318</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 of the Sea</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LAW321</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Conveyancing</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LAW323</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Intellectual Property Law</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LAW325</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International Trade Law</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LAW326</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Human Rights</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LAW332</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Industrial Law</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LAW336</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Local Government Law</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LAW337</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Innovation Law</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LAW338</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Biotechnology Law</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LAW339</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 of Neuroscience</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LAW341</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Environmental Law</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LAW342</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Medico-Legal Issues</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LAW343</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Contemporary Issues in Health Law</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LAW344</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Banking and Finance Law</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LAW345</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Animal Law</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LAW346</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 and Crisis: The Use of Emergency Powers</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LAW352</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Taxation Law</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LAW358</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Natural Resources Law</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lastRenderedPageBreak/>
              <w:t>LAW359</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Advanced Torts</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LAW360</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Conflict of Laws</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LAW361</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Public International Law</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LAW370</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Family Law</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LAW375</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Competition and Australian Consumer Law</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LAW377</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Information Technology Law</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LAW379</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Commercial Law</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LAW389</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Legal Practice in Rural and Regional Communities</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LAW390</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International Arbitration</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LAW396</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Special Studies in Law (A)</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c>
          <w:tcPr>
            <w:tcW w:w="155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LAW397</w:t>
            </w:r>
          </w:p>
        </w:tc>
        <w:tc>
          <w:tcPr>
            <w:tcW w:w="6237"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rPr>
                <w:rFonts w:cs="Arial"/>
              </w:rPr>
            </w:pPr>
            <w:r w:rsidRPr="00821C42">
              <w:rPr>
                <w:rFonts w:cs="Arial"/>
              </w:rPr>
              <w:t>Special Studies in Law (B)</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6</w:t>
            </w:r>
          </w:p>
        </w:tc>
        <w:tc>
          <w:tcPr>
            <w:tcW w:w="1057"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2D3A2B">
            <w:pPr>
              <w:spacing w:after="0" w:line="240" w:lineRule="auto"/>
              <w:jc w:val="center"/>
              <w:rPr>
                <w:rFonts w:cs="Arial"/>
              </w:rPr>
            </w:pPr>
            <w:r w:rsidRPr="00821C42">
              <w:rPr>
                <w:rFonts w:cs="Arial"/>
              </w:rPr>
              <w:t> </w:t>
            </w:r>
          </w:p>
        </w:tc>
      </w:tr>
      <w:tr w:rsidR="002D3B7E" w:rsidRPr="00821C42" w:rsidTr="002D3B7E">
        <w:trPr>
          <w:gridAfter w:val="1"/>
          <w:wAfter w:w="26" w:type="dxa"/>
        </w:trPr>
        <w:tc>
          <w:tcPr>
            <w:tcW w:w="7790" w:type="dxa"/>
            <w:gridSpan w:val="2"/>
            <w:tcBorders>
              <w:top w:val="single" w:sz="6" w:space="0" w:color="999999"/>
              <w:left w:val="single" w:sz="6" w:space="0" w:color="999999"/>
              <w:bottom w:val="single" w:sz="6" w:space="0" w:color="999999"/>
              <w:right w:val="single" w:sz="6" w:space="0" w:color="999999"/>
            </w:tcBorders>
            <w:shd w:val="clear" w:color="auto" w:fill="FFFFFF"/>
            <w:tcMar>
              <w:top w:w="135" w:type="dxa"/>
              <w:left w:w="195" w:type="dxa"/>
              <w:bottom w:w="150" w:type="dxa"/>
              <w:right w:w="120" w:type="dxa"/>
            </w:tcMar>
            <w:vAlign w:val="bottom"/>
            <w:hideMark/>
          </w:tcPr>
          <w:p w:rsidR="00C45BED" w:rsidRPr="00821C42" w:rsidRDefault="00C45BED" w:rsidP="0088303C">
            <w:pPr>
              <w:spacing w:after="0" w:line="240" w:lineRule="auto"/>
              <w:rPr>
                <w:rFonts w:cs="Arial"/>
              </w:rPr>
            </w:pPr>
            <w:r w:rsidRPr="00821C42">
              <w:rPr>
                <w:rFonts w:cs="Arial"/>
              </w:rPr>
              <w:t xml:space="preserve">Candidates who have completed 96 credit points of the course with a Grade Point Average (GPA) of 5 or better may select one LLM unit in which to </w:t>
            </w:r>
            <w:proofErr w:type="spellStart"/>
            <w:r w:rsidRPr="00821C42">
              <w:rPr>
                <w:rFonts w:cs="Arial"/>
              </w:rPr>
              <w:t>enrol</w:t>
            </w:r>
            <w:proofErr w:type="spellEnd"/>
            <w:r w:rsidRPr="00821C42">
              <w:rPr>
                <w:rFonts w:cs="Arial"/>
              </w:rPr>
              <w:t>, not being LLM520, LLM522 or LLM533.</w:t>
            </w:r>
          </w:p>
        </w:tc>
        <w:tc>
          <w:tcPr>
            <w:tcW w:w="2164" w:type="dxa"/>
            <w:gridSpan w:val="2"/>
            <w:tcBorders>
              <w:top w:val="nil"/>
              <w:left w:val="nil"/>
              <w:bottom w:val="nil"/>
              <w:right w:val="nil"/>
            </w:tcBorders>
            <w:shd w:val="clear" w:color="auto" w:fill="E4F3FF"/>
            <w:tcMar>
              <w:top w:w="135" w:type="dxa"/>
              <w:left w:w="195" w:type="dxa"/>
              <w:bottom w:w="150" w:type="dxa"/>
              <w:right w:w="120" w:type="dxa"/>
            </w:tcMar>
            <w:vAlign w:val="bottom"/>
            <w:hideMark/>
          </w:tcPr>
          <w:p w:rsidR="00C45BED" w:rsidRPr="00821C42" w:rsidRDefault="00C45BED" w:rsidP="0088303C">
            <w:pPr>
              <w:spacing w:after="0" w:line="240" w:lineRule="auto"/>
              <w:jc w:val="center"/>
              <w:rPr>
                <w:rFonts w:cs="Arial"/>
              </w:rPr>
            </w:pPr>
            <w:r w:rsidRPr="00821C42">
              <w:rPr>
                <w:rFonts w:cs="Arial"/>
              </w:rPr>
              <w:t> </w:t>
            </w:r>
          </w:p>
        </w:tc>
      </w:tr>
      <w:tr w:rsidR="002D3B7E" w:rsidRPr="00821C42" w:rsidTr="002D3B7E">
        <w:trPr>
          <w:gridAfter w:val="1"/>
          <w:wAfter w:w="26" w:type="dxa"/>
        </w:trPr>
        <w:tc>
          <w:tcPr>
            <w:tcW w:w="7790" w:type="dxa"/>
            <w:gridSpan w:val="2"/>
            <w:tcBorders>
              <w:top w:val="single" w:sz="6" w:space="0" w:color="999999"/>
              <w:left w:val="single" w:sz="6" w:space="0" w:color="999999"/>
              <w:bottom w:val="single" w:sz="6" w:space="0" w:color="999999"/>
              <w:right w:val="single" w:sz="6" w:space="0" w:color="999999"/>
            </w:tcBorders>
            <w:shd w:val="clear" w:color="auto" w:fill="EEEEEE"/>
            <w:tcMar>
              <w:top w:w="45" w:type="dxa"/>
              <w:left w:w="45" w:type="dxa"/>
              <w:bottom w:w="45" w:type="dxa"/>
              <w:right w:w="45" w:type="dxa"/>
            </w:tcMar>
            <w:vAlign w:val="bottom"/>
            <w:hideMark/>
          </w:tcPr>
          <w:p w:rsidR="00C45BED" w:rsidRPr="00821C42" w:rsidRDefault="00C45BED" w:rsidP="0088303C">
            <w:pPr>
              <w:spacing w:after="0" w:line="240" w:lineRule="auto"/>
              <w:jc w:val="right"/>
              <w:rPr>
                <w:rFonts w:cs="Arial"/>
              </w:rPr>
            </w:pPr>
            <w:bookmarkStart w:id="0" w:name="_GoBack" w:colFirst="0" w:colLast="1"/>
            <w:r w:rsidRPr="00821C42">
              <w:rPr>
                <w:rFonts w:cs="Arial"/>
              </w:rPr>
              <w:t>Total</w:t>
            </w:r>
          </w:p>
        </w:tc>
        <w:tc>
          <w:tcPr>
            <w:tcW w:w="2164" w:type="dxa"/>
            <w:gridSpan w:val="2"/>
            <w:tcBorders>
              <w:top w:val="single" w:sz="6" w:space="0" w:color="999999"/>
              <w:left w:val="single" w:sz="6" w:space="0" w:color="999999"/>
              <w:bottom w:val="single" w:sz="6" w:space="0" w:color="999999"/>
              <w:right w:val="single" w:sz="6" w:space="0" w:color="999999"/>
            </w:tcBorders>
            <w:shd w:val="clear" w:color="auto" w:fill="EEEEEE"/>
            <w:tcMar>
              <w:top w:w="45" w:type="dxa"/>
              <w:left w:w="45" w:type="dxa"/>
              <w:bottom w:w="45" w:type="dxa"/>
              <w:right w:w="45" w:type="dxa"/>
            </w:tcMar>
            <w:vAlign w:val="bottom"/>
            <w:hideMark/>
          </w:tcPr>
          <w:p w:rsidR="00C45BED" w:rsidRPr="00821C42" w:rsidRDefault="00C45BED" w:rsidP="0088303C">
            <w:pPr>
              <w:spacing w:after="0" w:line="240" w:lineRule="auto"/>
              <w:jc w:val="center"/>
              <w:rPr>
                <w:rFonts w:cs="Arial"/>
              </w:rPr>
            </w:pPr>
            <w:r w:rsidRPr="00821C42">
              <w:rPr>
                <w:rStyle w:val="Strong"/>
                <w:rFonts w:cs="Arial"/>
                <w:bdr w:val="none" w:sz="0" w:space="0" w:color="auto" w:frame="1"/>
              </w:rPr>
              <w:t>144 cps</w:t>
            </w:r>
          </w:p>
        </w:tc>
      </w:tr>
      <w:bookmarkEnd w:id="0"/>
    </w:tbl>
    <w:p w:rsidR="00CE1008" w:rsidRPr="00821C42" w:rsidRDefault="00CE1008" w:rsidP="00C52FA3">
      <w:pPr>
        <w:spacing w:after="0" w:line="240" w:lineRule="auto"/>
        <w:rPr>
          <w:rFonts w:ascii="Lucida Sans" w:hAnsi="Lucida Sans"/>
        </w:rPr>
      </w:pPr>
    </w:p>
    <w:p w:rsidR="007C4D6D" w:rsidRPr="00821C42" w:rsidRDefault="007C4D6D" w:rsidP="00C52FA3">
      <w:pPr>
        <w:spacing w:after="0" w:line="240" w:lineRule="auto"/>
        <w:rPr>
          <w:rFonts w:ascii="Lucida Sans" w:hAnsi="Lucida Sans"/>
          <w:lang w:eastAsia="en-AU" w:bidi="en-US"/>
        </w:rPr>
      </w:pPr>
    </w:p>
    <w:sectPr w:rsidR="007C4D6D" w:rsidRPr="00821C42" w:rsidSect="00676AAA">
      <w:footerReference w:type="default" r:id="rId21"/>
      <w:pgSz w:w="11907" w:h="16840" w:code="9"/>
      <w:pgMar w:top="907" w:right="1134" w:bottom="567"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BED" w:rsidRDefault="00C45BED" w:rsidP="00CB1917">
      <w:pPr>
        <w:spacing w:after="0" w:line="240" w:lineRule="auto"/>
      </w:pPr>
      <w:r>
        <w:separator/>
      </w:r>
    </w:p>
  </w:endnote>
  <w:endnote w:type="continuationSeparator" w:id="0">
    <w:p w:rsidR="00C45BED" w:rsidRDefault="00C45BED" w:rsidP="00CB1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BED" w:rsidRDefault="00C45BED" w:rsidP="00CB1917">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1009991"/>
      <w:docPartObj>
        <w:docPartGallery w:val="Page Numbers (Bottom of Page)"/>
        <w:docPartUnique/>
      </w:docPartObj>
    </w:sdtPr>
    <w:sdtEndPr>
      <w:rPr>
        <w:noProof/>
      </w:rPr>
    </w:sdtEndPr>
    <w:sdtContent>
      <w:p w:rsidR="00C45BED" w:rsidRDefault="00C45BED" w:rsidP="00CB1917">
        <w:pPr>
          <w:pStyle w:val="Footer"/>
          <w:jc w:val="right"/>
        </w:pPr>
        <w:r>
          <w:fldChar w:fldCharType="begin"/>
        </w:r>
        <w:r>
          <w:instrText xml:space="preserve"> PAGE   \* MERGEFORMAT </w:instrText>
        </w:r>
        <w:r>
          <w:fldChar w:fldCharType="separate"/>
        </w:r>
        <w:r w:rsidR="0088303C">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BED" w:rsidRDefault="00C45BED" w:rsidP="00CB1917">
      <w:pPr>
        <w:spacing w:after="0" w:line="240" w:lineRule="auto"/>
      </w:pPr>
      <w:r>
        <w:separator/>
      </w:r>
    </w:p>
  </w:footnote>
  <w:footnote w:type="continuationSeparator" w:id="0">
    <w:p w:rsidR="00C45BED" w:rsidRDefault="00C45BED" w:rsidP="00CB19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B4655"/>
    <w:multiLevelType w:val="multilevel"/>
    <w:tmpl w:val="FF86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9E7261"/>
    <w:multiLevelType w:val="hybridMultilevel"/>
    <w:tmpl w:val="6B30691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B3"/>
    <w:rsid w:val="0004209D"/>
    <w:rsid w:val="00053FDA"/>
    <w:rsid w:val="00054FAF"/>
    <w:rsid w:val="001A592C"/>
    <w:rsid w:val="001D6973"/>
    <w:rsid w:val="00286F20"/>
    <w:rsid w:val="002D3A2B"/>
    <w:rsid w:val="002D3B7E"/>
    <w:rsid w:val="003073AA"/>
    <w:rsid w:val="00346FE3"/>
    <w:rsid w:val="00352F22"/>
    <w:rsid w:val="003A5347"/>
    <w:rsid w:val="003C1497"/>
    <w:rsid w:val="003C6F9C"/>
    <w:rsid w:val="00424275"/>
    <w:rsid w:val="00596E31"/>
    <w:rsid w:val="0059747C"/>
    <w:rsid w:val="005A4E9E"/>
    <w:rsid w:val="00632E97"/>
    <w:rsid w:val="00642B66"/>
    <w:rsid w:val="00676AAA"/>
    <w:rsid w:val="006A2508"/>
    <w:rsid w:val="006B4806"/>
    <w:rsid w:val="007C4D6D"/>
    <w:rsid w:val="00821C42"/>
    <w:rsid w:val="00826F34"/>
    <w:rsid w:val="0083475B"/>
    <w:rsid w:val="00841F83"/>
    <w:rsid w:val="0088303C"/>
    <w:rsid w:val="00915D75"/>
    <w:rsid w:val="00A42659"/>
    <w:rsid w:val="00AA58B0"/>
    <w:rsid w:val="00B26A87"/>
    <w:rsid w:val="00BB1EB3"/>
    <w:rsid w:val="00BC2EA8"/>
    <w:rsid w:val="00BF0D82"/>
    <w:rsid w:val="00C45BED"/>
    <w:rsid w:val="00C52FA3"/>
    <w:rsid w:val="00C7765C"/>
    <w:rsid w:val="00CB1917"/>
    <w:rsid w:val="00CC06C9"/>
    <w:rsid w:val="00CC2EA9"/>
    <w:rsid w:val="00CE1008"/>
    <w:rsid w:val="00D72C8A"/>
    <w:rsid w:val="00E50583"/>
    <w:rsid w:val="00E851E6"/>
    <w:rsid w:val="00F25690"/>
    <w:rsid w:val="00F73B53"/>
    <w:rsid w:val="00FC5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D82D1-02D3-4047-BEEF-81757C54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A592C"/>
    <w:pPr>
      <w:spacing w:before="199" w:after="199" w:line="240" w:lineRule="auto"/>
      <w:outlineLvl w:val="1"/>
    </w:pPr>
    <w:rPr>
      <w:rFonts w:ascii="Times New Roman" w:eastAsia="Times New Roman" w:hAnsi="Times New Roman" w:cs="Times New Roman"/>
      <w:b/>
      <w:bCs/>
      <w:sz w:val="36"/>
      <w:szCs w:val="36"/>
      <w:lang w:val="en-AU" w:eastAsia="en-AU"/>
    </w:rPr>
  </w:style>
  <w:style w:type="paragraph" w:styleId="Heading3">
    <w:name w:val="heading 3"/>
    <w:basedOn w:val="Normal"/>
    <w:next w:val="Normal"/>
    <w:link w:val="Heading3Char"/>
    <w:uiPriority w:val="9"/>
    <w:semiHidden/>
    <w:unhideWhenUsed/>
    <w:qFormat/>
    <w:rsid w:val="00C45B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C45BE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806"/>
    <w:rPr>
      <w:color w:val="0000FF"/>
      <w:u w:val="single"/>
    </w:rPr>
  </w:style>
  <w:style w:type="paragraph" w:styleId="NormalWeb">
    <w:name w:val="Normal (Web)"/>
    <w:basedOn w:val="Normal"/>
    <w:uiPriority w:val="99"/>
    <w:unhideWhenUsed/>
    <w:rsid w:val="006B4806"/>
    <w:pPr>
      <w:spacing w:before="100" w:beforeAutospacing="1" w:after="100" w:afterAutospacing="1" w:line="240" w:lineRule="auto"/>
    </w:pPr>
    <w:rPr>
      <w:rFonts w:eastAsiaTheme="minorEastAsia"/>
      <w:sz w:val="24"/>
      <w:szCs w:val="24"/>
      <w:lang w:eastAsia="en-AU" w:bidi="en-US"/>
    </w:rPr>
  </w:style>
  <w:style w:type="paragraph" w:customStyle="1" w:styleId="default">
    <w:name w:val="default"/>
    <w:basedOn w:val="Normal"/>
    <w:rsid w:val="005A4E9E"/>
    <w:pPr>
      <w:spacing w:before="100" w:beforeAutospacing="1" w:after="100" w:afterAutospacing="1" w:line="384" w:lineRule="atLeast"/>
    </w:pPr>
    <w:rPr>
      <w:rFonts w:ascii="Times New Roman" w:eastAsia="Times New Roman" w:hAnsi="Times New Roman" w:cs="Times New Roman"/>
      <w:sz w:val="24"/>
      <w:szCs w:val="24"/>
      <w:lang w:val="en-AU" w:eastAsia="en-AU"/>
    </w:rPr>
  </w:style>
  <w:style w:type="character" w:styleId="FollowedHyperlink">
    <w:name w:val="FollowedHyperlink"/>
    <w:basedOn w:val="DefaultParagraphFont"/>
    <w:uiPriority w:val="99"/>
    <w:semiHidden/>
    <w:unhideWhenUsed/>
    <w:rsid w:val="001A592C"/>
    <w:rPr>
      <w:color w:val="800080" w:themeColor="followedHyperlink"/>
      <w:u w:val="single"/>
    </w:rPr>
  </w:style>
  <w:style w:type="paragraph" w:styleId="BalloonText">
    <w:name w:val="Balloon Text"/>
    <w:basedOn w:val="Normal"/>
    <w:link w:val="BalloonTextChar"/>
    <w:uiPriority w:val="99"/>
    <w:semiHidden/>
    <w:unhideWhenUsed/>
    <w:rsid w:val="001A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92C"/>
    <w:rPr>
      <w:rFonts w:ascii="Tahoma" w:hAnsi="Tahoma" w:cs="Tahoma"/>
      <w:sz w:val="16"/>
      <w:szCs w:val="16"/>
    </w:rPr>
  </w:style>
  <w:style w:type="character" w:customStyle="1" w:styleId="Heading2Char">
    <w:name w:val="Heading 2 Char"/>
    <w:basedOn w:val="DefaultParagraphFont"/>
    <w:link w:val="Heading2"/>
    <w:uiPriority w:val="9"/>
    <w:rsid w:val="001A592C"/>
    <w:rPr>
      <w:rFonts w:ascii="Times New Roman" w:eastAsia="Times New Roman" w:hAnsi="Times New Roman" w:cs="Times New Roman"/>
      <w:b/>
      <w:bCs/>
      <w:sz w:val="36"/>
      <w:szCs w:val="36"/>
      <w:lang w:val="en-AU" w:eastAsia="en-AU"/>
    </w:rPr>
  </w:style>
  <w:style w:type="paragraph" w:styleId="ListParagraph">
    <w:name w:val="List Paragraph"/>
    <w:basedOn w:val="Normal"/>
    <w:uiPriority w:val="34"/>
    <w:qFormat/>
    <w:rsid w:val="00D72C8A"/>
    <w:pPr>
      <w:ind w:left="720"/>
      <w:contextualSpacing/>
    </w:pPr>
  </w:style>
  <w:style w:type="paragraph" w:styleId="Header">
    <w:name w:val="header"/>
    <w:basedOn w:val="Normal"/>
    <w:link w:val="HeaderChar"/>
    <w:uiPriority w:val="99"/>
    <w:unhideWhenUsed/>
    <w:rsid w:val="00CB1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917"/>
  </w:style>
  <w:style w:type="paragraph" w:styleId="Footer">
    <w:name w:val="footer"/>
    <w:basedOn w:val="Normal"/>
    <w:link w:val="FooterChar"/>
    <w:uiPriority w:val="99"/>
    <w:unhideWhenUsed/>
    <w:rsid w:val="00CB1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917"/>
  </w:style>
  <w:style w:type="character" w:customStyle="1" w:styleId="apple-converted-space">
    <w:name w:val="apple-converted-space"/>
    <w:basedOn w:val="DefaultParagraphFont"/>
    <w:rsid w:val="00642B66"/>
  </w:style>
  <w:style w:type="character" w:customStyle="1" w:styleId="Heading3Char">
    <w:name w:val="Heading 3 Char"/>
    <w:basedOn w:val="DefaultParagraphFont"/>
    <w:link w:val="Heading3"/>
    <w:uiPriority w:val="9"/>
    <w:semiHidden/>
    <w:rsid w:val="00C45BED"/>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C45BED"/>
    <w:rPr>
      <w:rFonts w:asciiTheme="majorHAnsi" w:eastAsiaTheme="majorEastAsia" w:hAnsiTheme="majorHAnsi" w:cstheme="majorBidi"/>
      <w:color w:val="365F91" w:themeColor="accent1" w:themeShade="BF"/>
    </w:rPr>
  </w:style>
  <w:style w:type="character" w:styleId="Strong">
    <w:name w:val="Strong"/>
    <w:basedOn w:val="DefaultParagraphFont"/>
    <w:uiPriority w:val="22"/>
    <w:qFormat/>
    <w:rsid w:val="00C45B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109019">
      <w:bodyDiv w:val="1"/>
      <w:marLeft w:val="0"/>
      <w:marRight w:val="0"/>
      <w:marTop w:val="0"/>
      <w:marBottom w:val="0"/>
      <w:divBdr>
        <w:top w:val="none" w:sz="0" w:space="0" w:color="auto"/>
        <w:left w:val="none" w:sz="0" w:space="0" w:color="auto"/>
        <w:bottom w:val="none" w:sz="0" w:space="0" w:color="auto"/>
        <w:right w:val="none" w:sz="0" w:space="0" w:color="auto"/>
      </w:divBdr>
    </w:div>
    <w:div w:id="923299546">
      <w:bodyDiv w:val="1"/>
      <w:marLeft w:val="0"/>
      <w:marRight w:val="0"/>
      <w:marTop w:val="0"/>
      <w:marBottom w:val="0"/>
      <w:divBdr>
        <w:top w:val="none" w:sz="0" w:space="0" w:color="auto"/>
        <w:left w:val="none" w:sz="0" w:space="0" w:color="auto"/>
        <w:bottom w:val="none" w:sz="0" w:space="0" w:color="auto"/>
        <w:right w:val="none" w:sz="0" w:space="0" w:color="auto"/>
      </w:divBdr>
    </w:div>
    <w:div w:id="964508799">
      <w:bodyDiv w:val="1"/>
      <w:marLeft w:val="0"/>
      <w:marRight w:val="0"/>
      <w:marTop w:val="0"/>
      <w:marBottom w:val="0"/>
      <w:divBdr>
        <w:top w:val="none" w:sz="0" w:space="0" w:color="auto"/>
        <w:left w:val="none" w:sz="0" w:space="0" w:color="auto"/>
        <w:bottom w:val="none" w:sz="0" w:space="0" w:color="auto"/>
        <w:right w:val="none" w:sz="0" w:space="0" w:color="auto"/>
      </w:divBdr>
    </w:div>
    <w:div w:id="974525723">
      <w:bodyDiv w:val="1"/>
      <w:marLeft w:val="0"/>
      <w:marRight w:val="0"/>
      <w:marTop w:val="0"/>
      <w:marBottom w:val="0"/>
      <w:divBdr>
        <w:top w:val="none" w:sz="0" w:space="0" w:color="auto"/>
        <w:left w:val="none" w:sz="0" w:space="0" w:color="auto"/>
        <w:bottom w:val="none" w:sz="0" w:space="0" w:color="auto"/>
        <w:right w:val="none" w:sz="0" w:space="0" w:color="auto"/>
      </w:divBdr>
    </w:div>
    <w:div w:id="1019698473">
      <w:bodyDiv w:val="1"/>
      <w:marLeft w:val="0"/>
      <w:marRight w:val="0"/>
      <w:marTop w:val="0"/>
      <w:marBottom w:val="0"/>
      <w:divBdr>
        <w:top w:val="none" w:sz="0" w:space="0" w:color="auto"/>
        <w:left w:val="none" w:sz="0" w:space="0" w:color="auto"/>
        <w:bottom w:val="none" w:sz="0" w:space="0" w:color="auto"/>
        <w:right w:val="none" w:sz="0" w:space="0" w:color="auto"/>
      </w:divBdr>
    </w:div>
    <w:div w:id="1074161691">
      <w:bodyDiv w:val="1"/>
      <w:marLeft w:val="0"/>
      <w:marRight w:val="0"/>
      <w:marTop w:val="0"/>
      <w:marBottom w:val="0"/>
      <w:divBdr>
        <w:top w:val="none" w:sz="0" w:space="0" w:color="auto"/>
        <w:left w:val="none" w:sz="0" w:space="0" w:color="auto"/>
        <w:bottom w:val="none" w:sz="0" w:space="0" w:color="auto"/>
        <w:right w:val="none" w:sz="0" w:space="0" w:color="auto"/>
      </w:divBdr>
      <w:divsChild>
        <w:div w:id="1576283284">
          <w:marLeft w:val="0"/>
          <w:marRight w:val="0"/>
          <w:marTop w:val="0"/>
          <w:marBottom w:val="0"/>
          <w:divBdr>
            <w:top w:val="none" w:sz="0" w:space="0" w:color="auto"/>
            <w:left w:val="none" w:sz="0" w:space="0" w:color="auto"/>
            <w:bottom w:val="none" w:sz="0" w:space="0" w:color="auto"/>
            <w:right w:val="none" w:sz="0" w:space="0" w:color="auto"/>
          </w:divBdr>
          <w:divsChild>
            <w:div w:id="1182745974">
              <w:marLeft w:val="0"/>
              <w:marRight w:val="0"/>
              <w:marTop w:val="0"/>
              <w:marBottom w:val="0"/>
              <w:divBdr>
                <w:top w:val="none" w:sz="0" w:space="0" w:color="auto"/>
                <w:left w:val="none" w:sz="0" w:space="0" w:color="auto"/>
                <w:bottom w:val="none" w:sz="0" w:space="0" w:color="auto"/>
                <w:right w:val="none" w:sz="0" w:space="0" w:color="auto"/>
              </w:divBdr>
              <w:divsChild>
                <w:div w:id="888683646">
                  <w:marLeft w:val="0"/>
                  <w:marRight w:val="0"/>
                  <w:marTop w:val="0"/>
                  <w:marBottom w:val="0"/>
                  <w:divBdr>
                    <w:top w:val="none" w:sz="0" w:space="0" w:color="auto"/>
                    <w:left w:val="none" w:sz="0" w:space="0" w:color="auto"/>
                    <w:bottom w:val="none" w:sz="0" w:space="0" w:color="auto"/>
                    <w:right w:val="none" w:sz="0" w:space="0" w:color="auto"/>
                  </w:divBdr>
                  <w:divsChild>
                    <w:div w:id="1516656080">
                      <w:marLeft w:val="0"/>
                      <w:marRight w:val="0"/>
                      <w:marTop w:val="0"/>
                      <w:marBottom w:val="0"/>
                      <w:divBdr>
                        <w:top w:val="none" w:sz="0" w:space="0" w:color="auto"/>
                        <w:left w:val="none" w:sz="0" w:space="0" w:color="auto"/>
                        <w:bottom w:val="none" w:sz="0" w:space="0" w:color="auto"/>
                        <w:right w:val="none" w:sz="0" w:space="0" w:color="auto"/>
                      </w:divBdr>
                      <w:divsChild>
                        <w:div w:id="850072550">
                          <w:marLeft w:val="0"/>
                          <w:marRight w:val="0"/>
                          <w:marTop w:val="0"/>
                          <w:marBottom w:val="0"/>
                          <w:divBdr>
                            <w:top w:val="none" w:sz="0" w:space="0" w:color="auto"/>
                            <w:left w:val="none" w:sz="0" w:space="0" w:color="auto"/>
                            <w:bottom w:val="none" w:sz="0" w:space="0" w:color="auto"/>
                            <w:right w:val="none" w:sz="0" w:space="0" w:color="auto"/>
                          </w:divBdr>
                          <w:divsChild>
                            <w:div w:id="287666195">
                              <w:marLeft w:val="0"/>
                              <w:marRight w:val="0"/>
                              <w:marTop w:val="0"/>
                              <w:marBottom w:val="0"/>
                              <w:divBdr>
                                <w:top w:val="none" w:sz="0" w:space="0" w:color="auto"/>
                                <w:left w:val="none" w:sz="0" w:space="0" w:color="auto"/>
                                <w:bottom w:val="none" w:sz="0" w:space="0" w:color="auto"/>
                                <w:right w:val="none" w:sz="0" w:space="0" w:color="auto"/>
                              </w:divBdr>
                              <w:divsChild>
                                <w:div w:id="851917772">
                                  <w:marLeft w:val="0"/>
                                  <w:marRight w:val="0"/>
                                  <w:marTop w:val="0"/>
                                  <w:marBottom w:val="0"/>
                                  <w:divBdr>
                                    <w:top w:val="none" w:sz="0" w:space="0" w:color="auto"/>
                                    <w:left w:val="none" w:sz="0" w:space="0" w:color="auto"/>
                                    <w:bottom w:val="none" w:sz="0" w:space="0" w:color="auto"/>
                                    <w:right w:val="none" w:sz="0" w:space="0" w:color="auto"/>
                                  </w:divBdr>
                                  <w:divsChild>
                                    <w:div w:id="4576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275889">
      <w:bodyDiv w:val="1"/>
      <w:marLeft w:val="0"/>
      <w:marRight w:val="0"/>
      <w:marTop w:val="0"/>
      <w:marBottom w:val="0"/>
      <w:divBdr>
        <w:top w:val="none" w:sz="0" w:space="0" w:color="auto"/>
        <w:left w:val="none" w:sz="0" w:space="0" w:color="auto"/>
        <w:bottom w:val="none" w:sz="0" w:space="0" w:color="auto"/>
        <w:right w:val="none" w:sz="0" w:space="0" w:color="auto"/>
      </w:divBdr>
    </w:div>
    <w:div w:id="1659379162">
      <w:bodyDiv w:val="1"/>
      <w:marLeft w:val="0"/>
      <w:marRight w:val="0"/>
      <w:marTop w:val="0"/>
      <w:marBottom w:val="0"/>
      <w:divBdr>
        <w:top w:val="none" w:sz="0" w:space="0" w:color="auto"/>
        <w:left w:val="none" w:sz="0" w:space="0" w:color="auto"/>
        <w:bottom w:val="none" w:sz="0" w:space="0" w:color="auto"/>
        <w:right w:val="none" w:sz="0" w:space="0" w:color="auto"/>
      </w:divBdr>
    </w:div>
    <w:div w:id="1873885795">
      <w:bodyDiv w:val="1"/>
      <w:marLeft w:val="0"/>
      <w:marRight w:val="0"/>
      <w:marTop w:val="0"/>
      <w:marBottom w:val="0"/>
      <w:divBdr>
        <w:top w:val="none" w:sz="0" w:space="0" w:color="auto"/>
        <w:left w:val="none" w:sz="0" w:space="0" w:color="auto"/>
        <w:bottom w:val="none" w:sz="0" w:space="0" w:color="auto"/>
        <w:right w:val="none" w:sz="0" w:space="0" w:color="auto"/>
      </w:divBdr>
    </w:div>
    <w:div w:id="1928923647">
      <w:bodyDiv w:val="1"/>
      <w:marLeft w:val="0"/>
      <w:marRight w:val="0"/>
      <w:marTop w:val="0"/>
      <w:marBottom w:val="0"/>
      <w:divBdr>
        <w:top w:val="none" w:sz="0" w:space="0" w:color="auto"/>
        <w:left w:val="none" w:sz="0" w:space="0" w:color="auto"/>
        <w:bottom w:val="none" w:sz="0" w:space="0" w:color="auto"/>
        <w:right w:val="none" w:sz="0" w:space="0" w:color="auto"/>
      </w:divBdr>
      <w:divsChild>
        <w:div w:id="828207839">
          <w:marLeft w:val="0"/>
          <w:marRight w:val="0"/>
          <w:marTop w:val="0"/>
          <w:marBottom w:val="0"/>
          <w:divBdr>
            <w:top w:val="none" w:sz="0" w:space="0" w:color="auto"/>
            <w:left w:val="none" w:sz="0" w:space="0" w:color="auto"/>
            <w:bottom w:val="none" w:sz="0" w:space="0" w:color="auto"/>
            <w:right w:val="none" w:sz="0" w:space="0" w:color="auto"/>
          </w:divBdr>
          <w:divsChild>
            <w:div w:id="786923166">
              <w:marLeft w:val="0"/>
              <w:marRight w:val="0"/>
              <w:marTop w:val="0"/>
              <w:marBottom w:val="0"/>
              <w:divBdr>
                <w:top w:val="none" w:sz="0" w:space="0" w:color="auto"/>
                <w:left w:val="none" w:sz="0" w:space="0" w:color="auto"/>
                <w:bottom w:val="none" w:sz="0" w:space="0" w:color="auto"/>
                <w:right w:val="none" w:sz="0" w:space="0" w:color="auto"/>
              </w:divBdr>
              <w:divsChild>
                <w:div w:id="1302688293">
                  <w:marLeft w:val="0"/>
                  <w:marRight w:val="0"/>
                  <w:marTop w:val="0"/>
                  <w:marBottom w:val="0"/>
                  <w:divBdr>
                    <w:top w:val="none" w:sz="0" w:space="0" w:color="auto"/>
                    <w:left w:val="none" w:sz="0" w:space="0" w:color="auto"/>
                    <w:bottom w:val="none" w:sz="0" w:space="0" w:color="auto"/>
                    <w:right w:val="none" w:sz="0" w:space="0" w:color="auto"/>
                  </w:divBdr>
                  <w:divsChild>
                    <w:div w:id="934753993">
                      <w:marLeft w:val="0"/>
                      <w:marRight w:val="0"/>
                      <w:marTop w:val="0"/>
                      <w:marBottom w:val="0"/>
                      <w:divBdr>
                        <w:top w:val="none" w:sz="0" w:space="0" w:color="auto"/>
                        <w:left w:val="none" w:sz="0" w:space="0" w:color="auto"/>
                        <w:bottom w:val="none" w:sz="0" w:space="0" w:color="auto"/>
                        <w:right w:val="none" w:sz="0" w:space="0" w:color="auto"/>
                      </w:divBdr>
                      <w:divsChild>
                        <w:div w:id="586890726">
                          <w:marLeft w:val="0"/>
                          <w:marRight w:val="0"/>
                          <w:marTop w:val="0"/>
                          <w:marBottom w:val="0"/>
                          <w:divBdr>
                            <w:top w:val="none" w:sz="0" w:space="0" w:color="auto"/>
                            <w:left w:val="none" w:sz="0" w:space="0" w:color="auto"/>
                            <w:bottom w:val="none" w:sz="0" w:space="0" w:color="auto"/>
                            <w:right w:val="none" w:sz="0" w:space="0" w:color="auto"/>
                          </w:divBdr>
                          <w:divsChild>
                            <w:div w:id="754135024">
                              <w:marLeft w:val="0"/>
                              <w:marRight w:val="0"/>
                              <w:marTop w:val="0"/>
                              <w:marBottom w:val="0"/>
                              <w:divBdr>
                                <w:top w:val="none" w:sz="0" w:space="0" w:color="auto"/>
                                <w:left w:val="none" w:sz="0" w:space="0" w:color="auto"/>
                                <w:bottom w:val="none" w:sz="0" w:space="0" w:color="auto"/>
                                <w:right w:val="none" w:sz="0" w:space="0" w:color="auto"/>
                              </w:divBdr>
                              <w:divsChild>
                                <w:div w:id="217210878">
                                  <w:marLeft w:val="0"/>
                                  <w:marRight w:val="0"/>
                                  <w:marTop w:val="0"/>
                                  <w:marBottom w:val="0"/>
                                  <w:divBdr>
                                    <w:top w:val="none" w:sz="0" w:space="0" w:color="auto"/>
                                    <w:left w:val="none" w:sz="0" w:space="0" w:color="auto"/>
                                    <w:bottom w:val="none" w:sz="0" w:space="0" w:color="auto"/>
                                    <w:right w:val="none" w:sz="0" w:space="0" w:color="auto"/>
                                  </w:divBdr>
                                  <w:divsChild>
                                    <w:div w:id="5599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3185280">
      <w:bodyDiv w:val="1"/>
      <w:marLeft w:val="0"/>
      <w:marRight w:val="0"/>
      <w:marTop w:val="0"/>
      <w:marBottom w:val="0"/>
      <w:divBdr>
        <w:top w:val="none" w:sz="0" w:space="0" w:color="auto"/>
        <w:left w:val="none" w:sz="0" w:space="0" w:color="auto"/>
        <w:bottom w:val="none" w:sz="0" w:space="0" w:color="auto"/>
        <w:right w:val="none" w:sz="0" w:space="0" w:color="auto"/>
      </w:divBdr>
      <w:divsChild>
        <w:div w:id="1446576338">
          <w:marLeft w:val="0"/>
          <w:marRight w:val="0"/>
          <w:marTop w:val="0"/>
          <w:marBottom w:val="0"/>
          <w:divBdr>
            <w:top w:val="none" w:sz="0" w:space="0" w:color="auto"/>
            <w:left w:val="none" w:sz="0" w:space="0" w:color="auto"/>
            <w:bottom w:val="none" w:sz="0" w:space="0" w:color="auto"/>
            <w:right w:val="none" w:sz="0" w:space="0" w:color="auto"/>
          </w:divBdr>
          <w:divsChild>
            <w:div w:id="439103293">
              <w:marLeft w:val="0"/>
              <w:marRight w:val="0"/>
              <w:marTop w:val="0"/>
              <w:marBottom w:val="0"/>
              <w:divBdr>
                <w:top w:val="none" w:sz="0" w:space="0" w:color="auto"/>
                <w:left w:val="none" w:sz="0" w:space="0" w:color="auto"/>
                <w:bottom w:val="none" w:sz="0" w:space="0" w:color="auto"/>
                <w:right w:val="none" w:sz="0" w:space="0" w:color="auto"/>
              </w:divBdr>
              <w:divsChild>
                <w:div w:id="2048599567">
                  <w:marLeft w:val="0"/>
                  <w:marRight w:val="0"/>
                  <w:marTop w:val="0"/>
                  <w:marBottom w:val="0"/>
                  <w:divBdr>
                    <w:top w:val="none" w:sz="0" w:space="0" w:color="auto"/>
                    <w:left w:val="none" w:sz="0" w:space="0" w:color="auto"/>
                    <w:bottom w:val="none" w:sz="0" w:space="0" w:color="auto"/>
                    <w:right w:val="none" w:sz="0" w:space="0" w:color="auto"/>
                  </w:divBdr>
                  <w:divsChild>
                    <w:div w:id="1279872299">
                      <w:marLeft w:val="0"/>
                      <w:marRight w:val="0"/>
                      <w:marTop w:val="0"/>
                      <w:marBottom w:val="0"/>
                      <w:divBdr>
                        <w:top w:val="none" w:sz="0" w:space="0" w:color="auto"/>
                        <w:left w:val="none" w:sz="0" w:space="0" w:color="auto"/>
                        <w:bottom w:val="none" w:sz="0" w:space="0" w:color="auto"/>
                        <w:right w:val="none" w:sz="0" w:space="0" w:color="auto"/>
                      </w:divBdr>
                      <w:divsChild>
                        <w:div w:id="39210422">
                          <w:marLeft w:val="0"/>
                          <w:marRight w:val="0"/>
                          <w:marTop w:val="0"/>
                          <w:marBottom w:val="0"/>
                          <w:divBdr>
                            <w:top w:val="none" w:sz="0" w:space="0" w:color="auto"/>
                            <w:left w:val="none" w:sz="0" w:space="0" w:color="auto"/>
                            <w:bottom w:val="none" w:sz="0" w:space="0" w:color="auto"/>
                            <w:right w:val="none" w:sz="0" w:space="0" w:color="auto"/>
                          </w:divBdr>
                          <w:divsChild>
                            <w:div w:id="233051377">
                              <w:marLeft w:val="0"/>
                              <w:marRight w:val="0"/>
                              <w:marTop w:val="0"/>
                              <w:marBottom w:val="0"/>
                              <w:divBdr>
                                <w:top w:val="none" w:sz="0" w:space="0" w:color="auto"/>
                                <w:left w:val="none" w:sz="0" w:space="0" w:color="auto"/>
                                <w:bottom w:val="none" w:sz="0" w:space="0" w:color="auto"/>
                                <w:right w:val="none" w:sz="0" w:space="0" w:color="auto"/>
                              </w:divBdr>
                              <w:divsChild>
                                <w:div w:id="1017850083">
                                  <w:marLeft w:val="0"/>
                                  <w:marRight w:val="0"/>
                                  <w:marTop w:val="0"/>
                                  <w:marBottom w:val="0"/>
                                  <w:divBdr>
                                    <w:top w:val="none" w:sz="0" w:space="0" w:color="auto"/>
                                    <w:left w:val="none" w:sz="0" w:space="0" w:color="auto"/>
                                    <w:bottom w:val="none" w:sz="0" w:space="0" w:color="auto"/>
                                    <w:right w:val="none" w:sz="0" w:space="0" w:color="auto"/>
                                  </w:divBdr>
                                  <w:divsChild>
                                    <w:div w:id="20712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ne.edu.au/study/international/applying"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ne.edu.au/current-students/my-course/managing-my-course/forms-and-procedures/undergraduate-admissions" TargetMode="External"/><Relationship Id="rId17" Type="http://schemas.openxmlformats.org/officeDocument/2006/relationships/hyperlink" Target="http://www.une.edu.au/askune" TargetMode="External"/><Relationship Id="rId2" Type="http://schemas.openxmlformats.org/officeDocument/2006/relationships/numbering" Target="numbering.xml"/><Relationship Id="rId16" Type="http://schemas.openxmlformats.org/officeDocument/2006/relationships/hyperlink" Target="http://policies.une.edu.au/view.current.php?id=00210" TargetMode="External"/><Relationship Id="rId20" Type="http://schemas.openxmlformats.org/officeDocument/2006/relationships/hyperlink" Target="https://my.une.edu.au/courses/2017/courses/BLAW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edu.au/study/study-on-campus/apply-to-study-on-campus" TargetMode="External"/><Relationship Id="rId5" Type="http://schemas.openxmlformats.org/officeDocument/2006/relationships/webSettings" Target="webSettings.xml"/><Relationship Id="rId15" Type="http://schemas.openxmlformats.org/officeDocument/2006/relationships/hyperlink" Target="http://policies.une.edu.au/view.current.php?id=00281"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une.edu.au/askun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olicies.une.edu.au/view.current.php?id=0003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7395E-0F12-4C89-B880-FBE4E8400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Velleley</dc:creator>
  <cp:lastModifiedBy>Victoria Vivers</cp:lastModifiedBy>
  <cp:revision>10</cp:revision>
  <cp:lastPrinted>2016-08-12T03:57:00Z</cp:lastPrinted>
  <dcterms:created xsi:type="dcterms:W3CDTF">2017-02-01T02:24:00Z</dcterms:created>
  <dcterms:modified xsi:type="dcterms:W3CDTF">2017-02-01T06:07:00Z</dcterms:modified>
</cp:coreProperties>
</file>