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9603" w14:textId="77777777" w:rsidR="00D85661" w:rsidRDefault="00D85661" w:rsidP="00D85661">
      <w:pPr>
        <w:pStyle w:val="Heading1"/>
        <w:spacing w:before="0"/>
        <w:jc w:val="center"/>
        <w:rPr>
          <w:sz w:val="52"/>
          <w:szCs w:val="5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D85661" w14:paraId="79068657" w14:textId="77777777" w:rsidTr="009F4200">
        <w:tc>
          <w:tcPr>
            <w:tcW w:w="4656" w:type="dxa"/>
          </w:tcPr>
          <w:p w14:paraId="3382BA12" w14:textId="77777777" w:rsidR="00D85661" w:rsidRDefault="00D85661" w:rsidP="009F4200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942D591" wp14:editId="14081C68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39291B3B" w14:textId="77777777" w:rsidR="00D85661" w:rsidRPr="002A08A7" w:rsidRDefault="00D85661" w:rsidP="009F4200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A5CA4A1" w14:textId="77777777" w:rsidR="00D85661" w:rsidRPr="00F26105" w:rsidRDefault="00D85661" w:rsidP="00D85661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F24730E" w14:textId="77777777" w:rsidR="00D85661" w:rsidRPr="00347D01" w:rsidRDefault="00D85661" w:rsidP="00D85661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545EAD43" w14:textId="53305AA0" w:rsidR="00D85661" w:rsidRPr="00EF32B5" w:rsidRDefault="00D85661" w:rsidP="00D85661">
      <w:pPr>
        <w:jc w:val="center"/>
        <w:rPr>
          <w:rFonts w:eastAsiaTheme="majorEastAsia" w:cstheme="majorBidi"/>
          <w:b/>
          <w:bCs/>
          <w:sz w:val="28"/>
          <w:szCs w:val="28"/>
          <w:lang w:val="en-AU"/>
        </w:rPr>
      </w:pPr>
      <w:r w:rsidRPr="00EF32B5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EDEC355: </w:t>
      </w:r>
      <w:r w:rsidR="00EF32B5" w:rsidRPr="00EF32B5">
        <w:rPr>
          <w:rFonts w:eastAsiaTheme="majorEastAsia" w:cstheme="majorBidi"/>
          <w:b/>
          <w:bCs/>
          <w:sz w:val="28"/>
          <w:szCs w:val="28"/>
          <w:lang w:val="en-AU"/>
        </w:rPr>
        <w:t>Young Children as M</w:t>
      </w:r>
      <w:r w:rsidRPr="00EF32B5">
        <w:rPr>
          <w:rFonts w:eastAsiaTheme="majorEastAsia" w:cstheme="majorBidi"/>
          <w:b/>
          <w:bCs/>
          <w:sz w:val="28"/>
          <w:szCs w:val="28"/>
          <w:lang w:val="en-AU"/>
        </w:rPr>
        <w:t xml:space="preserve">athematicians: </w:t>
      </w:r>
      <w:proofErr w:type="spellStart"/>
      <w:r w:rsidRPr="00EF32B5">
        <w:rPr>
          <w:rFonts w:eastAsiaTheme="majorEastAsia" w:cstheme="majorBidi"/>
          <w:b/>
          <w:bCs/>
          <w:sz w:val="28"/>
          <w:szCs w:val="28"/>
          <w:lang w:val="en-AU"/>
        </w:rPr>
        <w:t>PrEx</w:t>
      </w:r>
      <w:proofErr w:type="spellEnd"/>
      <w:r w:rsidRPr="00EF32B5">
        <w:rPr>
          <w:rFonts w:eastAsiaTheme="majorEastAsia" w:cstheme="majorBidi"/>
          <w:b/>
          <w:bCs/>
          <w:sz w:val="28"/>
          <w:szCs w:val="28"/>
          <w:lang w:val="en-AU"/>
        </w:rPr>
        <w:t xml:space="preserve"> 10 days </w:t>
      </w:r>
    </w:p>
    <w:p w14:paraId="4F29C0A0" w14:textId="01B416D6" w:rsidR="00D85661" w:rsidRPr="00EF32B5" w:rsidRDefault="00AA26B7" w:rsidP="00D85661">
      <w:pPr>
        <w:jc w:val="center"/>
        <w:rPr>
          <w:rFonts w:eastAsiaTheme="majorEastAsia" w:cstheme="majorBidi"/>
          <w:b/>
          <w:bCs/>
          <w:sz w:val="28"/>
          <w:szCs w:val="28"/>
          <w:lang w:val="en-AU"/>
        </w:rPr>
      </w:pPr>
      <w:r>
        <w:rPr>
          <w:rFonts w:eastAsiaTheme="majorEastAsia" w:cstheme="majorBidi"/>
          <w:b/>
          <w:bCs/>
          <w:sz w:val="28"/>
          <w:szCs w:val="28"/>
          <w:lang w:val="en-AU"/>
        </w:rPr>
        <w:t>(children 3-5</w:t>
      </w:r>
      <w:r w:rsidR="00D85661" w:rsidRPr="00EF32B5">
        <w:rPr>
          <w:rFonts w:eastAsiaTheme="majorEastAsia" w:cstheme="majorBidi"/>
          <w:b/>
          <w:bCs/>
          <w:sz w:val="28"/>
          <w:szCs w:val="28"/>
          <w:lang w:val="en-AU"/>
        </w:rPr>
        <w:t xml:space="preserve"> years)</w:t>
      </w:r>
    </w:p>
    <w:p w14:paraId="0FCF9970" w14:textId="77777777" w:rsidR="00D85661" w:rsidRPr="00CC3854" w:rsidRDefault="00D85661" w:rsidP="00D85661">
      <w:pPr>
        <w:jc w:val="center"/>
        <w:rPr>
          <w:sz w:val="16"/>
          <w:szCs w:val="16"/>
          <w:u w:val="double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  <w:lang w:val="en-AU"/>
        </w:rPr>
        <w:t>_________________________________________________________________________________________________________</w:t>
      </w:r>
    </w:p>
    <w:p w14:paraId="5C007F9F" w14:textId="1368FBC2" w:rsidR="00EF32B5" w:rsidRPr="00083E08" w:rsidRDefault="00EF32B5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TEACHER EDUCATION STUDENTS UNE ID NUMBER:</w:t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</w:p>
    <w:p w14:paraId="2A6A46D4" w14:textId="2B24EF02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EARLY CHILDHOOD CENTRE:</w:t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</w:p>
    <w:p w14:paraId="4A2BF63A" w14:textId="70B82CCE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DATES OF PLACEMENT:</w:t>
      </w:r>
      <w:r w:rsidRPr="00083E08">
        <w:rPr>
          <w:sz w:val="24"/>
          <w:szCs w:val="24"/>
        </w:rPr>
        <w:tab/>
        <w:t>from</w:t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</w:rPr>
        <w:t>to</w:t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</w:p>
    <w:p w14:paraId="1391E64A" w14:textId="5322DDB3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SUPERVISING TEACHER(S):</w:t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</w:p>
    <w:p w14:paraId="5F3C68D7" w14:textId="5C2ACAEF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AGE GROUP:</w:t>
      </w:r>
      <w:r w:rsidRPr="00083E08">
        <w:rPr>
          <w:sz w:val="24"/>
          <w:szCs w:val="24"/>
          <w:u w:val="single"/>
        </w:rPr>
        <w:tab/>
      </w:r>
      <w:r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  <w:r w:rsidR="00083E08" w:rsidRPr="00083E08">
        <w:rPr>
          <w:sz w:val="24"/>
          <w:szCs w:val="24"/>
          <w:u w:val="single"/>
        </w:rPr>
        <w:tab/>
      </w:r>
    </w:p>
    <w:p w14:paraId="2B8EF6A5" w14:textId="77777777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>PROGRAM: (please tick)</w:t>
      </w:r>
      <w:r w:rsidRPr="00083E08">
        <w:rPr>
          <w:sz w:val="24"/>
          <w:szCs w:val="24"/>
        </w:rPr>
        <w:tab/>
      </w:r>
      <w:r w:rsidRPr="00083E08">
        <w:rPr>
          <w:sz w:val="24"/>
          <w:szCs w:val="24"/>
        </w:rPr>
        <w:tab/>
      </w:r>
      <w:r w:rsidRPr="00083E08">
        <w:rPr>
          <w:sz w:val="24"/>
          <w:szCs w:val="24"/>
        </w:rPr>
        <w:sym w:font="Wingdings 2" w:char="F02A"/>
      </w:r>
      <w:r w:rsidRPr="00083E08">
        <w:rPr>
          <w:sz w:val="24"/>
          <w:szCs w:val="24"/>
        </w:rPr>
        <w:tab/>
        <w:t>INTERNAL</w:t>
      </w:r>
      <w:r w:rsidRPr="00083E08">
        <w:rPr>
          <w:sz w:val="24"/>
          <w:szCs w:val="24"/>
        </w:rPr>
        <w:tab/>
        <w:t>or</w:t>
      </w:r>
      <w:r w:rsidRPr="00083E08">
        <w:rPr>
          <w:sz w:val="24"/>
          <w:szCs w:val="24"/>
        </w:rPr>
        <w:tab/>
      </w:r>
      <w:r w:rsidRPr="00083E08">
        <w:rPr>
          <w:sz w:val="24"/>
          <w:szCs w:val="24"/>
        </w:rPr>
        <w:sym w:font="Wingdings 2" w:char="F02A"/>
      </w:r>
      <w:r w:rsidRPr="00083E08">
        <w:rPr>
          <w:sz w:val="24"/>
          <w:szCs w:val="24"/>
        </w:rPr>
        <w:tab/>
        <w:t>EXTERNAL</w:t>
      </w:r>
    </w:p>
    <w:p w14:paraId="2698D90E" w14:textId="77777777" w:rsidR="00D85661" w:rsidRPr="00083E08" w:rsidRDefault="00D85661" w:rsidP="00083E08">
      <w:pPr>
        <w:rPr>
          <w:sz w:val="24"/>
          <w:szCs w:val="24"/>
        </w:rPr>
      </w:pPr>
    </w:p>
    <w:p w14:paraId="50CBC201" w14:textId="77777777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t xml:space="preserve">PROGRAM: </w:t>
      </w:r>
    </w:p>
    <w:p w14:paraId="33DE8AFD" w14:textId="48857385" w:rsidR="00D85661" w:rsidRPr="00083E08" w:rsidRDefault="00D85661" w:rsidP="00083E08">
      <w:pPr>
        <w:rPr>
          <w:sz w:val="24"/>
          <w:szCs w:val="24"/>
        </w:rPr>
      </w:pPr>
      <w:r w:rsidRPr="00083E08">
        <w:rPr>
          <w:sz w:val="24"/>
          <w:szCs w:val="24"/>
        </w:rPr>
        <w:sym w:font="Wingdings 2" w:char="F0A3"/>
      </w:r>
      <w:r w:rsidR="00083E08">
        <w:rPr>
          <w:sz w:val="24"/>
          <w:szCs w:val="24"/>
        </w:rPr>
        <w:t xml:space="preserve"> </w:t>
      </w:r>
      <w:r w:rsidRPr="00083E08">
        <w:rPr>
          <w:sz w:val="24"/>
          <w:szCs w:val="24"/>
        </w:rPr>
        <w:t>Bachelor of Education (Early Childhood Teaching)</w:t>
      </w:r>
    </w:p>
    <w:p w14:paraId="7E238B35" w14:textId="7D42F573" w:rsidR="00D85661" w:rsidRPr="002C3FBA" w:rsidRDefault="00D85661" w:rsidP="00083E08">
      <w:pPr>
        <w:sectPr w:rsidR="00D85661" w:rsidRPr="002C3FB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3E08">
        <w:rPr>
          <w:sz w:val="24"/>
          <w:szCs w:val="24"/>
        </w:rPr>
        <w:sym w:font="Wingdings 2" w:char="F0A3"/>
      </w:r>
      <w:r w:rsidR="00083E08">
        <w:rPr>
          <w:sz w:val="24"/>
          <w:szCs w:val="24"/>
        </w:rPr>
        <w:t xml:space="preserve"> </w:t>
      </w:r>
      <w:r w:rsidRPr="00083E08">
        <w:rPr>
          <w:sz w:val="24"/>
          <w:szCs w:val="24"/>
        </w:rPr>
        <w:t>Bachelor of Education (Early Childhood and Primary</w:t>
      </w:r>
      <w:r w:rsidR="00083E08">
        <w:rPr>
          <w:sz w:val="24"/>
          <w:szCs w:val="24"/>
        </w:rPr>
        <w:t>)</w:t>
      </w:r>
      <w:bookmarkStart w:id="0" w:name="_GoBack"/>
      <w:bookmarkEnd w:id="0"/>
    </w:p>
    <w:p w14:paraId="58358492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607"/>
      </w:tblGrid>
      <w:tr w:rsidR="00391466" w:rsidRPr="001135A0" w14:paraId="35906782" w14:textId="77777777" w:rsidTr="00CB6120">
        <w:trPr>
          <w:trHeight w:val="764"/>
        </w:trPr>
        <w:tc>
          <w:tcPr>
            <w:tcW w:w="4743" w:type="dxa"/>
            <w:tcBorders>
              <w:bottom w:val="single" w:sz="4" w:space="0" w:color="auto"/>
            </w:tcBorders>
            <w:shd w:val="clear" w:color="auto" w:fill="auto"/>
          </w:tcPr>
          <w:p w14:paraId="182BAC7C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5E84C38C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264EBC0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BD261BB" w14:textId="77777777" w:rsidTr="00CB6120">
        <w:trPr>
          <w:trHeight w:val="782"/>
        </w:trPr>
        <w:tc>
          <w:tcPr>
            <w:tcW w:w="4743" w:type="dxa"/>
            <w:shd w:val="clear" w:color="auto" w:fill="auto"/>
          </w:tcPr>
          <w:p w14:paraId="7FDFAF94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435FBA4D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4A7AE76D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607" w:type="dxa"/>
          </w:tcPr>
          <w:p w14:paraId="680D1710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593AB22E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46A830D" w14:textId="77777777" w:rsidTr="00CB6120">
        <w:tc>
          <w:tcPr>
            <w:tcW w:w="4743" w:type="dxa"/>
            <w:shd w:val="clear" w:color="auto" w:fill="auto"/>
          </w:tcPr>
          <w:p w14:paraId="10FC26A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34641888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607" w:type="dxa"/>
          </w:tcPr>
          <w:p w14:paraId="7F0DEBE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1FD63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4F7AC7" w:rsidRPr="001135A0" w14:paraId="4DFAE133" w14:textId="77777777" w:rsidTr="004F7AC7">
        <w:trPr>
          <w:trHeight w:val="2297"/>
        </w:trPr>
        <w:tc>
          <w:tcPr>
            <w:tcW w:w="4743" w:type="dxa"/>
            <w:shd w:val="clear" w:color="auto" w:fill="auto"/>
          </w:tcPr>
          <w:p w14:paraId="0C7EA5C0" w14:textId="77777777" w:rsidR="004F7AC7" w:rsidRPr="009B29CA" w:rsidRDefault="004F7AC7" w:rsidP="0071321E">
            <w:pPr>
              <w:keepNext/>
              <w:spacing w:after="0"/>
              <w:rPr>
                <w:b/>
                <w:sz w:val="20"/>
                <w:szCs w:val="20"/>
                <w:lang w:val="en-AU"/>
              </w:rPr>
            </w:pPr>
            <w:r w:rsidRPr="009B29CA">
              <w:rPr>
                <w:sz w:val="20"/>
                <w:szCs w:val="20"/>
                <w:lang w:val="en-AU"/>
              </w:rPr>
              <w:t>1.4</w:t>
            </w:r>
            <w:r w:rsidRPr="009B29CA">
              <w:rPr>
                <w:b/>
                <w:sz w:val="20"/>
                <w:szCs w:val="20"/>
                <w:lang w:val="en-AU"/>
              </w:rPr>
              <w:t xml:space="preserve"> child health, wellbeing and safety</w:t>
            </w:r>
          </w:p>
          <w:p w14:paraId="71A96CD8" w14:textId="77777777" w:rsidR="004F7AC7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0BC1A038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1E2C40AA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22B975B4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3FE539DB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57E95AA1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2E46A4B0" w14:textId="77777777" w:rsidR="004F7AC7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6728B160" w14:textId="77777777" w:rsidR="004F7AC7" w:rsidRPr="00B31FE5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607" w:type="dxa"/>
          </w:tcPr>
          <w:p w14:paraId="1F29ADFB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1D044490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7C6FBA3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7B08650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A1D8CB3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AAB5624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A1475E1" w14:textId="77777777" w:rsidR="004F7AC7" w:rsidRPr="001135A0" w:rsidRDefault="004F7AC7" w:rsidP="0071321E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4F7AC7" w:rsidRPr="001135A0" w14:paraId="15F24692" w14:textId="77777777" w:rsidTr="004F7AC7">
        <w:trPr>
          <w:trHeight w:val="1636"/>
        </w:trPr>
        <w:tc>
          <w:tcPr>
            <w:tcW w:w="4743" w:type="dxa"/>
            <w:shd w:val="clear" w:color="auto" w:fill="auto"/>
          </w:tcPr>
          <w:p w14:paraId="2C9E3EAA" w14:textId="77777777" w:rsidR="004F7AC7" w:rsidRPr="00C51416" w:rsidRDefault="004F7AC7" w:rsidP="0071321E">
            <w:pPr>
              <w:keepNext/>
              <w:spacing w:after="0"/>
              <w:rPr>
                <w:b/>
                <w:sz w:val="20"/>
                <w:szCs w:val="20"/>
                <w:lang w:val="en-AU"/>
              </w:rPr>
            </w:pPr>
            <w:r w:rsidRPr="00C51416">
              <w:rPr>
                <w:b/>
                <w:sz w:val="20"/>
                <w:szCs w:val="20"/>
                <w:lang w:val="en-AU"/>
              </w:rPr>
              <w:t>1.6 diversity, difference and inclusivity</w:t>
            </w:r>
          </w:p>
          <w:p w14:paraId="4DD6D121" w14:textId="77777777" w:rsidR="004F7AC7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4521C2DE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3B3D9D5C" w14:textId="77777777" w:rsidR="004F7AC7" w:rsidRPr="00427502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45CA9CAD" w14:textId="77777777" w:rsidR="004F7AC7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  <w:p w14:paraId="08E972EA" w14:textId="77777777" w:rsidR="004F7AC7" w:rsidRPr="001135A0" w:rsidRDefault="004F7AC7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607" w:type="dxa"/>
          </w:tcPr>
          <w:p w14:paraId="7EEA3B38" w14:textId="77777777" w:rsidR="004F7AC7" w:rsidRPr="001135A0" w:rsidRDefault="004F7AC7" w:rsidP="0071321E">
            <w:pPr>
              <w:keepNext/>
              <w:rPr>
                <w:sz w:val="20"/>
                <w:szCs w:val="20"/>
                <w:lang w:val="en-AU"/>
              </w:rPr>
            </w:pPr>
          </w:p>
          <w:p w14:paraId="7AEEC6BB" w14:textId="77777777" w:rsidR="004F7AC7" w:rsidRPr="001135A0" w:rsidRDefault="004F7AC7" w:rsidP="0071321E">
            <w:pPr>
              <w:keepNext/>
              <w:rPr>
                <w:sz w:val="20"/>
                <w:szCs w:val="20"/>
                <w:lang w:val="en-AU"/>
              </w:rPr>
            </w:pPr>
          </w:p>
          <w:p w14:paraId="354AE9A6" w14:textId="77777777" w:rsidR="004F7AC7" w:rsidRPr="001135A0" w:rsidRDefault="004F7AC7" w:rsidP="0071321E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3974CE41" w14:textId="77777777" w:rsidR="00CB6120" w:rsidRDefault="00CB612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607"/>
      </w:tblGrid>
      <w:tr w:rsidR="00391466" w:rsidRPr="001135A0" w14:paraId="5F9C6A42" w14:textId="77777777" w:rsidTr="00CB6120">
        <w:trPr>
          <w:trHeight w:val="791"/>
        </w:trPr>
        <w:tc>
          <w:tcPr>
            <w:tcW w:w="4743" w:type="dxa"/>
            <w:shd w:val="clear" w:color="auto" w:fill="auto"/>
          </w:tcPr>
          <w:p w14:paraId="65327FF5" w14:textId="6649D4C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5D63CBF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607" w:type="dxa"/>
          </w:tcPr>
          <w:p w14:paraId="5894CD7F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1C6E2A2C" w14:textId="77777777" w:rsidTr="00CB6120">
        <w:tc>
          <w:tcPr>
            <w:tcW w:w="4743" w:type="dxa"/>
            <w:shd w:val="clear" w:color="auto" w:fill="auto"/>
          </w:tcPr>
          <w:p w14:paraId="0EA5601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7964EEDB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607" w:type="dxa"/>
          </w:tcPr>
          <w:p w14:paraId="302C3BD9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C00CA1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555175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488B436" w14:textId="77777777" w:rsidTr="00CB6120">
        <w:trPr>
          <w:trHeight w:val="1620"/>
        </w:trPr>
        <w:tc>
          <w:tcPr>
            <w:tcW w:w="4743" w:type="dxa"/>
            <w:shd w:val="clear" w:color="auto" w:fill="auto"/>
          </w:tcPr>
          <w:p w14:paraId="4954963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4D140A68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14E021BC" w14:textId="77777777" w:rsidR="00391466" w:rsidRPr="001135A0" w:rsidRDefault="00391466" w:rsidP="0079420B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607" w:type="dxa"/>
          </w:tcPr>
          <w:p w14:paraId="757AD6A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0B76274E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4"/>
      </w:tblGrid>
      <w:tr w:rsidR="00391466" w:rsidRPr="001135A0" w14:paraId="066BEAEB" w14:textId="77777777" w:rsidTr="00CB6120">
        <w:trPr>
          <w:trHeight w:val="836"/>
        </w:trPr>
        <w:tc>
          <w:tcPr>
            <w:tcW w:w="4503" w:type="dxa"/>
            <w:shd w:val="clear" w:color="auto" w:fill="auto"/>
          </w:tcPr>
          <w:p w14:paraId="4ECE8AD7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Three:</w:t>
            </w:r>
          </w:p>
          <w:p w14:paraId="64B13A1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3594" w:type="dxa"/>
          </w:tcPr>
          <w:p w14:paraId="7E0E51FA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654A62F" w14:textId="77777777" w:rsidTr="00CB6120">
        <w:trPr>
          <w:trHeight w:val="20"/>
        </w:trPr>
        <w:tc>
          <w:tcPr>
            <w:tcW w:w="4503" w:type="dxa"/>
            <w:shd w:val="clear" w:color="auto" w:fill="auto"/>
          </w:tcPr>
          <w:p w14:paraId="7520000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67ADF165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3594" w:type="dxa"/>
          </w:tcPr>
          <w:p w14:paraId="17129C6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007577D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4B42D1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F331E5B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7204FB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D9F045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8761D7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8D7EF62" w14:textId="77777777" w:rsidTr="00CB6120">
        <w:trPr>
          <w:trHeight w:val="1133"/>
        </w:trPr>
        <w:tc>
          <w:tcPr>
            <w:tcW w:w="4503" w:type="dxa"/>
            <w:shd w:val="clear" w:color="auto" w:fill="auto"/>
          </w:tcPr>
          <w:p w14:paraId="5878380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170983E3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6315692A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477057F5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  <w:p w14:paraId="3BEB3AD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3594" w:type="dxa"/>
          </w:tcPr>
          <w:p w14:paraId="4A3CB54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16032B9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2AC7F6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E9F43D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EFA714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F54B31" w:rsidRPr="001135A0" w14:paraId="09D5C6B7" w14:textId="77777777" w:rsidTr="00CB6120">
        <w:trPr>
          <w:trHeight w:val="1568"/>
        </w:trPr>
        <w:tc>
          <w:tcPr>
            <w:tcW w:w="4503" w:type="dxa"/>
            <w:shd w:val="clear" w:color="auto" w:fill="auto"/>
          </w:tcPr>
          <w:p w14:paraId="5C76E7C9" w14:textId="77777777" w:rsidR="00F54B31" w:rsidRDefault="00F54B31" w:rsidP="0071321E">
            <w:pPr>
              <w:keepNext/>
              <w:spacing w:after="0"/>
              <w:ind w:left="29"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3.3 </w:t>
            </w:r>
            <w:r w:rsidRPr="00C51416">
              <w:rPr>
                <w:b/>
                <w:sz w:val="20"/>
                <w:szCs w:val="20"/>
                <w:lang w:val="en-AU"/>
              </w:rPr>
              <w:t>guiding behaviour /</w:t>
            </w:r>
            <w:r w:rsidRPr="00C51416">
              <w:rPr>
                <w:b/>
                <w:lang w:val="en-AU"/>
              </w:rPr>
              <w:t xml:space="preserve"> </w:t>
            </w:r>
            <w:r w:rsidRPr="00C51416">
              <w:rPr>
                <w:b/>
                <w:sz w:val="20"/>
                <w:szCs w:val="20"/>
                <w:lang w:val="en-AU"/>
              </w:rPr>
              <w:t>engaging young learners</w:t>
            </w:r>
          </w:p>
          <w:p w14:paraId="58A6F611" w14:textId="77777777" w:rsidR="00F54B31" w:rsidRPr="001135A0" w:rsidRDefault="00F54B31" w:rsidP="0071321E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83AC12C" w14:textId="77777777" w:rsidR="00F54B31" w:rsidRPr="00427502" w:rsidRDefault="00F54B31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2111640B" w14:textId="77777777" w:rsidR="00F54B31" w:rsidRPr="00427502" w:rsidRDefault="00F54B31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3337B02C" w14:textId="77777777" w:rsidR="00F54B31" w:rsidRPr="00427502" w:rsidRDefault="00F54B31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7A6E47F8" w14:textId="77777777" w:rsidR="00F54B31" w:rsidRDefault="00F54B31" w:rsidP="0071321E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73CBF9F0" w14:textId="77777777" w:rsidR="00F54B31" w:rsidRPr="001135A0" w:rsidRDefault="00F54B31" w:rsidP="0071321E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3594" w:type="dxa"/>
          </w:tcPr>
          <w:p w14:paraId="73406E56" w14:textId="77777777" w:rsidR="00F54B31" w:rsidRPr="001135A0" w:rsidRDefault="00F54B31" w:rsidP="0071321E">
            <w:pPr>
              <w:keepNext/>
              <w:spacing w:after="0"/>
              <w:ind w:right="-33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B1F423D" w14:textId="77777777" w:rsidTr="00CB6120">
        <w:trPr>
          <w:trHeight w:val="432"/>
        </w:trPr>
        <w:tc>
          <w:tcPr>
            <w:tcW w:w="4503" w:type="dxa"/>
            <w:shd w:val="clear" w:color="auto" w:fill="auto"/>
          </w:tcPr>
          <w:p w14:paraId="7F07467C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527F29D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3594" w:type="dxa"/>
          </w:tcPr>
          <w:p w14:paraId="78935CB4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8586644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25828BB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F54B31" w:rsidRPr="001135A0" w14:paraId="3F921702" w14:textId="77777777" w:rsidTr="00F54B31">
        <w:trPr>
          <w:trHeight w:val="836"/>
        </w:trPr>
        <w:tc>
          <w:tcPr>
            <w:tcW w:w="4503" w:type="dxa"/>
            <w:shd w:val="clear" w:color="auto" w:fill="auto"/>
          </w:tcPr>
          <w:p w14:paraId="5097E200" w14:textId="77777777" w:rsidR="00F54B31" w:rsidRPr="001135A0" w:rsidRDefault="00F54B31" w:rsidP="00F54B31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3.5 </w:t>
            </w:r>
            <w:r w:rsidRPr="00CB6120">
              <w:rPr>
                <w:sz w:val="20"/>
                <w:szCs w:val="20"/>
                <w:lang w:val="en-AU"/>
              </w:rPr>
              <w:t>catering to children with diverse needs and backgrounds</w:t>
            </w:r>
          </w:p>
          <w:p w14:paraId="6DC604C5" w14:textId="77777777" w:rsidR="00F54B31" w:rsidRDefault="00F54B31" w:rsidP="00F54B31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  <w:p w14:paraId="2453C530" w14:textId="77777777" w:rsidR="00F54B31" w:rsidRPr="001135A0" w:rsidRDefault="00F54B31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3594" w:type="dxa"/>
          </w:tcPr>
          <w:p w14:paraId="3CC07D42" w14:textId="77777777" w:rsidR="00F54B31" w:rsidRPr="001135A0" w:rsidRDefault="00F54B31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52B7DFAE" w14:textId="77777777" w:rsidR="001154C1" w:rsidRDefault="001154C1"/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4"/>
      </w:tblGrid>
      <w:tr w:rsidR="007127E3" w:rsidRPr="001135A0" w14:paraId="00706FA5" w14:textId="77777777" w:rsidTr="0071321E">
        <w:trPr>
          <w:trHeight w:val="8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9348" w14:textId="77777777" w:rsidR="007127E3" w:rsidRPr="00CB6120" w:rsidRDefault="007127E3" w:rsidP="0071321E">
            <w:pPr>
              <w:keepNext/>
              <w:ind w:left="29"/>
              <w:rPr>
                <w:b/>
                <w:sz w:val="20"/>
                <w:szCs w:val="20"/>
                <w:lang w:val="en-AU"/>
              </w:rPr>
            </w:pPr>
            <w:r w:rsidRPr="00CB6120">
              <w:rPr>
                <w:b/>
                <w:sz w:val="20"/>
                <w:szCs w:val="20"/>
                <w:lang w:val="en-AU"/>
              </w:rPr>
              <w:t>ACECQA Specification Four:</w:t>
            </w:r>
          </w:p>
          <w:p w14:paraId="116A3050" w14:textId="77777777" w:rsidR="007127E3" w:rsidRPr="001135A0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F54B31">
              <w:rPr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9E8" w14:textId="77777777" w:rsidR="007127E3" w:rsidRPr="001135A0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7127E3" w:rsidRPr="001135A0" w14:paraId="462519EB" w14:textId="77777777" w:rsidTr="0071321E">
        <w:trPr>
          <w:trHeight w:val="8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AF8E" w14:textId="77777777" w:rsidR="007127E3" w:rsidRPr="001135A0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4.1 </w:t>
            </w:r>
            <w:r w:rsidRPr="00F54B31">
              <w:rPr>
                <w:sz w:val="20"/>
                <w:szCs w:val="20"/>
                <w:lang w:val="en-AU"/>
              </w:rPr>
              <w:t>developing family and community partnerships</w:t>
            </w:r>
          </w:p>
          <w:p w14:paraId="2E96D7A5" w14:textId="77777777" w:rsidR="007127E3" w:rsidRPr="001135A0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F54B31">
              <w:rPr>
                <w:sz w:val="20"/>
                <w:szCs w:val="20"/>
                <w:lang w:val="en-AU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A19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62B3A405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20A8463C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729B2D48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7127E3" w:rsidRPr="001135A0" w14:paraId="60CFEF93" w14:textId="77777777" w:rsidTr="0071321E">
        <w:trPr>
          <w:trHeight w:val="8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277" w14:textId="77777777" w:rsidR="007127E3" w:rsidRPr="00F54B31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4.4 </w:t>
            </w:r>
            <w:r w:rsidRPr="00F54B31">
              <w:rPr>
                <w:sz w:val="20"/>
                <w:szCs w:val="20"/>
                <w:lang w:val="en-AU"/>
              </w:rPr>
              <w:t>socially inclusive practice</w:t>
            </w:r>
          </w:p>
          <w:p w14:paraId="3B16FDC2" w14:textId="77777777" w:rsidR="007127E3" w:rsidRPr="00427502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7C11BCBC" w14:textId="77777777" w:rsidR="007127E3" w:rsidRPr="001135A0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084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5C892A7B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152FAB6B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7127E3" w:rsidRPr="001135A0" w14:paraId="2808EA89" w14:textId="77777777" w:rsidTr="0071321E">
        <w:trPr>
          <w:trHeight w:val="8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D417" w14:textId="77777777" w:rsidR="007127E3" w:rsidRPr="00F54B31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4.5 </w:t>
            </w:r>
            <w:r w:rsidRPr="00F54B31">
              <w:rPr>
                <w:sz w:val="20"/>
                <w:szCs w:val="20"/>
                <w:lang w:val="en-AU"/>
              </w:rPr>
              <w:t>culture, diversity and inclusion</w:t>
            </w:r>
          </w:p>
          <w:p w14:paraId="00A3293C" w14:textId="77777777" w:rsidR="007127E3" w:rsidRPr="00427502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0E71A317" w14:textId="77777777" w:rsidR="007127E3" w:rsidRPr="001135A0" w:rsidRDefault="007127E3" w:rsidP="0071321E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6FD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2E37FEA4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3530A9C1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26ED123A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  <w:p w14:paraId="6FE10EFD" w14:textId="77777777" w:rsidR="007127E3" w:rsidRPr="00F54B31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</w:tbl>
    <w:p w14:paraId="730CFD76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4"/>
      </w:tblGrid>
      <w:tr w:rsidR="007127E3" w:rsidRPr="001135A0" w14:paraId="491DFBE5" w14:textId="77777777" w:rsidTr="0071321E">
        <w:trPr>
          <w:trHeight w:val="836"/>
        </w:trPr>
        <w:tc>
          <w:tcPr>
            <w:tcW w:w="4503" w:type="dxa"/>
            <w:shd w:val="clear" w:color="auto" w:fill="auto"/>
          </w:tcPr>
          <w:p w14:paraId="66BBE186" w14:textId="77777777" w:rsidR="007127E3" w:rsidRPr="001135A0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50C7B1F6" w14:textId="77777777" w:rsidR="007127E3" w:rsidRPr="001135A0" w:rsidRDefault="007127E3" w:rsidP="0071321E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3594" w:type="dxa"/>
          </w:tcPr>
          <w:p w14:paraId="180313DE" w14:textId="77777777" w:rsidR="007127E3" w:rsidRPr="001135A0" w:rsidRDefault="007127E3" w:rsidP="0071321E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7127E3" w:rsidRPr="001135A0" w14:paraId="1FCAED8E" w14:textId="77777777" w:rsidTr="0071321E">
        <w:trPr>
          <w:trHeight w:val="462"/>
        </w:trPr>
        <w:tc>
          <w:tcPr>
            <w:tcW w:w="4503" w:type="dxa"/>
            <w:shd w:val="clear" w:color="auto" w:fill="auto"/>
          </w:tcPr>
          <w:p w14:paraId="1E556EA3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4E823303" w14:textId="77777777" w:rsidR="007127E3" w:rsidRPr="001135A0" w:rsidRDefault="007127E3" w:rsidP="0071321E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3594" w:type="dxa"/>
          </w:tcPr>
          <w:p w14:paraId="73EBE516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BC06585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F0361C7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7127E3" w:rsidRPr="001135A0" w14:paraId="702FA948" w14:textId="77777777" w:rsidTr="0071321E">
        <w:trPr>
          <w:trHeight w:val="1759"/>
        </w:trPr>
        <w:tc>
          <w:tcPr>
            <w:tcW w:w="4503" w:type="dxa"/>
            <w:shd w:val="clear" w:color="auto" w:fill="auto"/>
          </w:tcPr>
          <w:p w14:paraId="47082765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1EDC1A1F" w14:textId="77777777" w:rsidR="007127E3" w:rsidRPr="00427502" w:rsidRDefault="007127E3" w:rsidP="0071321E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7CE2D539" w14:textId="77777777" w:rsidR="007127E3" w:rsidRPr="001135A0" w:rsidRDefault="007127E3" w:rsidP="0071321E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</w:tc>
        <w:tc>
          <w:tcPr>
            <w:tcW w:w="3594" w:type="dxa"/>
          </w:tcPr>
          <w:p w14:paraId="251AF43A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6182D1D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887756C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FB07971" w14:textId="77777777" w:rsidR="007127E3" w:rsidRPr="001135A0" w:rsidRDefault="007127E3" w:rsidP="0071321E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54647D3F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E25AA96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60E0804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F0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AAF9" w14:textId="77777777" w:rsidR="00932A57" w:rsidRDefault="00932A57" w:rsidP="006869F4">
      <w:pPr>
        <w:spacing w:after="0" w:line="240" w:lineRule="auto"/>
      </w:pPr>
      <w:r>
        <w:separator/>
      </w:r>
    </w:p>
  </w:endnote>
  <w:endnote w:type="continuationSeparator" w:id="0">
    <w:p w14:paraId="7C9952F7" w14:textId="77777777" w:rsidR="00932A57" w:rsidRDefault="00932A57" w:rsidP="0068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Bold Italic">
    <w:altName w:val="Calibri"/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BCB7" w14:textId="3D18F22F" w:rsidR="006869F4" w:rsidRPr="00CB6120" w:rsidRDefault="006869F4" w:rsidP="00CB6120">
    <w:pPr>
      <w:pStyle w:val="Heading1"/>
      <w:spacing w:before="56"/>
      <w:ind w:right="264"/>
      <w:rPr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Evidence Log for </w:t>
    </w:r>
    <w:r w:rsidRPr="0053188B">
      <w:rPr>
        <w:rFonts w:asciiTheme="minorHAnsi" w:hAnsiTheme="minorHAnsi"/>
        <w:spacing w:val="1"/>
        <w:sz w:val="16"/>
        <w:szCs w:val="16"/>
      </w:rPr>
      <w:t>EDEC355:</w:t>
    </w:r>
    <w:r w:rsidRPr="0053188B">
      <w:rPr>
        <w:rFonts w:asciiTheme="minorHAnsi" w:hAnsiTheme="minorHAnsi"/>
        <w:spacing w:val="-13"/>
        <w:sz w:val="16"/>
        <w:szCs w:val="16"/>
      </w:rPr>
      <w:t xml:space="preserve"> </w:t>
    </w:r>
    <w:r w:rsidRPr="0053188B">
      <w:rPr>
        <w:rFonts w:asciiTheme="minorHAnsi" w:hAnsiTheme="minorHAnsi"/>
        <w:spacing w:val="-1"/>
        <w:sz w:val="16"/>
        <w:szCs w:val="16"/>
      </w:rPr>
      <w:t xml:space="preserve">Young children as Mathematicians </w:t>
    </w:r>
    <w:proofErr w:type="spellStart"/>
    <w:r w:rsidRPr="0053188B">
      <w:rPr>
        <w:rFonts w:asciiTheme="minorHAnsi" w:hAnsiTheme="minorHAnsi"/>
        <w:sz w:val="16"/>
        <w:szCs w:val="16"/>
      </w:rPr>
      <w:t>PrEx</w:t>
    </w:r>
    <w:proofErr w:type="spellEnd"/>
    <w:r w:rsidRPr="0053188B">
      <w:rPr>
        <w:rFonts w:asciiTheme="minorHAnsi" w:hAnsiTheme="minorHAnsi"/>
        <w:spacing w:val="-8"/>
        <w:sz w:val="16"/>
        <w:szCs w:val="16"/>
      </w:rPr>
      <w:t xml:space="preserve"> </w:t>
    </w:r>
    <w:r w:rsidRPr="0053188B">
      <w:rPr>
        <w:rFonts w:asciiTheme="minorHAnsi" w:hAnsiTheme="minorHAnsi"/>
        <w:sz w:val="16"/>
        <w:szCs w:val="16"/>
      </w:rPr>
      <w:t>10</w:t>
    </w:r>
    <w:r w:rsidRPr="0053188B">
      <w:rPr>
        <w:rFonts w:asciiTheme="minorHAnsi" w:hAnsiTheme="minorHAnsi"/>
        <w:spacing w:val="17"/>
        <w:sz w:val="16"/>
        <w:szCs w:val="16"/>
      </w:rPr>
      <w:t xml:space="preserve"> </w:t>
    </w:r>
    <w:r w:rsidRPr="0053188B">
      <w:rPr>
        <w:rFonts w:asciiTheme="minorHAnsi" w:hAnsiTheme="minorHAnsi"/>
        <w:sz w:val="16"/>
        <w:szCs w:val="16"/>
      </w:rPr>
      <w:t>days</w:t>
    </w:r>
    <w:r>
      <w:rPr>
        <w:rFonts w:asciiTheme="minorHAnsi" w:hAnsiTheme="minorHAnsi"/>
        <w:sz w:val="16"/>
        <w:szCs w:val="16"/>
      </w:rPr>
      <w:t>. Updated 3/03/2020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D328" w14:textId="77777777" w:rsidR="00932A57" w:rsidRDefault="00932A57" w:rsidP="006869F4">
      <w:pPr>
        <w:spacing w:after="0" w:line="240" w:lineRule="auto"/>
      </w:pPr>
      <w:r>
        <w:separator/>
      </w:r>
    </w:p>
  </w:footnote>
  <w:footnote w:type="continuationSeparator" w:id="0">
    <w:p w14:paraId="77C0DA03" w14:textId="77777777" w:rsidR="00932A57" w:rsidRDefault="00932A57" w:rsidP="0068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30E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AE0"/>
    <w:multiLevelType w:val="hybridMultilevel"/>
    <w:tmpl w:val="AB8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E8E"/>
    <w:multiLevelType w:val="hybridMultilevel"/>
    <w:tmpl w:val="208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15259C"/>
    <w:multiLevelType w:val="hybridMultilevel"/>
    <w:tmpl w:val="D04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F4C25"/>
    <w:multiLevelType w:val="hybridMultilevel"/>
    <w:tmpl w:val="5CE2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4D"/>
    <w:multiLevelType w:val="hybridMultilevel"/>
    <w:tmpl w:val="9A2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082B5E"/>
    <w:rsid w:val="00083E08"/>
    <w:rsid w:val="001154C1"/>
    <w:rsid w:val="002233AC"/>
    <w:rsid w:val="002C3FBA"/>
    <w:rsid w:val="00391466"/>
    <w:rsid w:val="00427502"/>
    <w:rsid w:val="004F7AC7"/>
    <w:rsid w:val="00575D4D"/>
    <w:rsid w:val="005E7D59"/>
    <w:rsid w:val="006869F4"/>
    <w:rsid w:val="007127E3"/>
    <w:rsid w:val="0079420B"/>
    <w:rsid w:val="00804FCD"/>
    <w:rsid w:val="00932A57"/>
    <w:rsid w:val="009C7839"/>
    <w:rsid w:val="00A22C97"/>
    <w:rsid w:val="00A47F3B"/>
    <w:rsid w:val="00A90782"/>
    <w:rsid w:val="00AA26B7"/>
    <w:rsid w:val="00AE69DA"/>
    <w:rsid w:val="00BD11CB"/>
    <w:rsid w:val="00CB6120"/>
    <w:rsid w:val="00CD426E"/>
    <w:rsid w:val="00D75960"/>
    <w:rsid w:val="00D85661"/>
    <w:rsid w:val="00EF32B5"/>
    <w:rsid w:val="00F0493C"/>
    <w:rsid w:val="00F32CF9"/>
    <w:rsid w:val="00F54B31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87582F"/>
  <w15:docId w15:val="{38DE018E-5704-495B-865F-BE75960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table" w:styleId="TableGrid">
    <w:name w:val="Table Grid"/>
    <w:basedOn w:val="TableNormal"/>
    <w:uiPriority w:val="59"/>
    <w:rsid w:val="00D8566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6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F4"/>
  </w:style>
  <w:style w:type="paragraph" w:styleId="Footer">
    <w:name w:val="footer"/>
    <w:basedOn w:val="Normal"/>
    <w:link w:val="FooterChar"/>
    <w:uiPriority w:val="99"/>
    <w:unhideWhenUsed/>
    <w:rsid w:val="0068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F4"/>
  </w:style>
  <w:style w:type="paragraph" w:styleId="Revision">
    <w:name w:val="Revision"/>
    <w:hidden/>
    <w:uiPriority w:val="99"/>
    <w:semiHidden/>
    <w:rsid w:val="00712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2</cp:revision>
  <dcterms:created xsi:type="dcterms:W3CDTF">2020-03-05T03:10:00Z</dcterms:created>
  <dcterms:modified xsi:type="dcterms:W3CDTF">2020-03-05T03:10:00Z</dcterms:modified>
</cp:coreProperties>
</file>