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E9" w:rsidRPr="007342E9" w:rsidRDefault="007342E9" w:rsidP="007342E9">
      <w:pPr>
        <w:jc w:val="center"/>
        <w:rPr>
          <w:b/>
        </w:rPr>
      </w:pPr>
      <w:r w:rsidRPr="007342E9">
        <w:rPr>
          <w:b/>
        </w:rPr>
        <w:t>UNE Business School</w:t>
      </w:r>
    </w:p>
    <w:p w:rsidR="007342E9" w:rsidRDefault="007342E9" w:rsidP="007342E9">
      <w:pPr>
        <w:jc w:val="center"/>
        <w:rPr>
          <w:b/>
        </w:rPr>
      </w:pPr>
      <w:r w:rsidRPr="007342E9">
        <w:rPr>
          <w:b/>
        </w:rPr>
        <w:t xml:space="preserve">Workloads Policy </w:t>
      </w:r>
      <w:r w:rsidR="00161045">
        <w:rPr>
          <w:b/>
        </w:rPr>
        <w:t>2016</w:t>
      </w:r>
    </w:p>
    <w:p w:rsidR="007342E9" w:rsidRDefault="007342E9" w:rsidP="007342E9"/>
    <w:p w:rsidR="007342E9" w:rsidRDefault="007342E9" w:rsidP="007342E9">
      <w:pPr>
        <w:rPr>
          <w:b/>
        </w:rPr>
      </w:pPr>
      <w:r w:rsidRPr="007342E9">
        <w:rPr>
          <w:b/>
        </w:rPr>
        <w:t>PRINCIPLES</w:t>
      </w:r>
    </w:p>
    <w:p w:rsidR="00161045" w:rsidRPr="00161045" w:rsidRDefault="00161045" w:rsidP="00161045">
      <w:pPr>
        <w:autoSpaceDE w:val="0"/>
        <w:autoSpaceDN w:val="0"/>
        <w:adjustRightInd w:val="0"/>
        <w:spacing w:after="0" w:line="240" w:lineRule="auto"/>
        <w:rPr>
          <w:rStyle w:val="Hyperlink"/>
        </w:rPr>
      </w:pPr>
      <w:r w:rsidRPr="00161045">
        <w:t xml:space="preserve">Underpinning the School’s workload policy is the </w:t>
      </w:r>
      <w:r>
        <w:fldChar w:fldCharType="begin"/>
      </w:r>
      <w:r>
        <w:instrText xml:space="preserve"> HYPERLINK "http://www.une.edu.au/__data/assets/pdf_file/0008/76472/academic-and-elc-teaching-staff-collective-agreement-2014-2017.pdf" </w:instrText>
      </w:r>
      <w:r>
        <w:fldChar w:fldCharType="separate"/>
      </w:r>
      <w:r w:rsidRPr="00161045">
        <w:rPr>
          <w:rStyle w:val="Hyperlink"/>
        </w:rPr>
        <w:t>University of New England Academic and ELC</w:t>
      </w:r>
    </w:p>
    <w:p w:rsidR="00161045" w:rsidRDefault="00161045" w:rsidP="00161045">
      <w:r w:rsidRPr="00161045">
        <w:rPr>
          <w:rStyle w:val="Hyperlink"/>
        </w:rPr>
        <w:t xml:space="preserve">Teaching </w:t>
      </w:r>
      <w:r>
        <w:rPr>
          <w:rStyle w:val="Hyperlink"/>
        </w:rPr>
        <w:t>S</w:t>
      </w:r>
      <w:r w:rsidRPr="00161045">
        <w:rPr>
          <w:rStyle w:val="Hyperlink"/>
        </w:rPr>
        <w:t xml:space="preserve">taff </w:t>
      </w:r>
      <w:r>
        <w:rPr>
          <w:rStyle w:val="Hyperlink"/>
        </w:rPr>
        <w:t>Collective A</w:t>
      </w:r>
      <w:r w:rsidRPr="00161045">
        <w:rPr>
          <w:rStyle w:val="Hyperlink"/>
        </w:rPr>
        <w:t>greement 2014 -2017</w:t>
      </w:r>
      <w:r>
        <w:fldChar w:fldCharType="end"/>
      </w:r>
      <w:r w:rsidR="00C740D4">
        <w:t xml:space="preserve"> (EA)</w:t>
      </w:r>
    </w:p>
    <w:p w:rsidR="00161045" w:rsidRDefault="00C740D4" w:rsidP="00161045">
      <w:r>
        <w:t>While the School’s workload policy seeks to establish key operational principles to guide staff, the EA takes precedence.</w:t>
      </w:r>
    </w:p>
    <w:p w:rsidR="007342E9" w:rsidRDefault="007342E9" w:rsidP="00161045">
      <w:r>
        <w:t xml:space="preserve">In allocating teaching loads, the </w:t>
      </w:r>
      <w:r w:rsidR="00C740D4">
        <w:t>following principles will apply</w:t>
      </w:r>
      <w:r>
        <w:t>:</w:t>
      </w:r>
    </w:p>
    <w:p w:rsidR="007342E9" w:rsidRDefault="007342E9" w:rsidP="007342E9">
      <w:r>
        <w:t>1.</w:t>
      </w:r>
      <w:r>
        <w:tab/>
      </w:r>
      <w:r w:rsidRPr="007342E9">
        <w:rPr>
          <w:i/>
        </w:rPr>
        <w:t>Transparency</w:t>
      </w:r>
      <w:r>
        <w:t>, equity and the active involvement of the teaching staff concerned.</w:t>
      </w:r>
    </w:p>
    <w:p w:rsidR="007342E9" w:rsidRDefault="007342E9" w:rsidP="0017656A">
      <w:pPr>
        <w:ind w:left="709" w:hanging="709"/>
      </w:pPr>
      <w:r>
        <w:t>2.</w:t>
      </w:r>
      <w:r>
        <w:tab/>
        <w:t xml:space="preserve">Where possible, to maximise the </w:t>
      </w:r>
      <w:r w:rsidRPr="007342E9">
        <w:rPr>
          <w:i/>
        </w:rPr>
        <w:t>quality</w:t>
      </w:r>
      <w:r>
        <w:t xml:space="preserve"> of the student experience, expertise, experience and qualifications will be matched to the units taught to ensure the best learning outcomes for our students.</w:t>
      </w:r>
    </w:p>
    <w:p w:rsidR="007342E9" w:rsidRDefault="007342E9" w:rsidP="0017656A">
      <w:pPr>
        <w:tabs>
          <w:tab w:val="left" w:pos="709"/>
        </w:tabs>
      </w:pPr>
      <w:r>
        <w:t>3.</w:t>
      </w:r>
      <w:r>
        <w:tab/>
      </w:r>
      <w:r>
        <w:rPr>
          <w:i/>
        </w:rPr>
        <w:t>Equity</w:t>
      </w:r>
      <w:r w:rsidR="0017656A">
        <w:t xml:space="preserve"> requires that </w:t>
      </w:r>
      <w:r>
        <w:t xml:space="preserve">annual teaching loads should, wherever practicable, provide an </w:t>
      </w:r>
      <w:r w:rsidR="0017656A">
        <w:tab/>
      </w:r>
      <w:r>
        <w:t>equitable mix of:</w:t>
      </w:r>
    </w:p>
    <w:p w:rsidR="007342E9" w:rsidRDefault="007342E9" w:rsidP="0017656A">
      <w:pPr>
        <w:tabs>
          <w:tab w:val="left" w:pos="709"/>
        </w:tabs>
      </w:pPr>
      <w:r>
        <w:t>a)</w:t>
      </w:r>
      <w:r>
        <w:tab/>
        <w:t>internal and external teaching modes;</w:t>
      </w:r>
    </w:p>
    <w:p w:rsidR="007342E9" w:rsidRDefault="007342E9" w:rsidP="007342E9">
      <w:r>
        <w:t>b)</w:t>
      </w:r>
      <w:r>
        <w:tab/>
        <w:t>larger and smaller units;</w:t>
      </w:r>
    </w:p>
    <w:p w:rsidR="007342E9" w:rsidRDefault="007342E9" w:rsidP="007342E9">
      <w:r>
        <w:t>c)</w:t>
      </w:r>
      <w:r>
        <w:tab/>
        <w:t>postgraduate and undergraduate teaching (depending on qualifications)</w:t>
      </w:r>
      <w:r w:rsidR="00097FF4">
        <w:t>;</w:t>
      </w:r>
    </w:p>
    <w:p w:rsidR="007342E9" w:rsidRDefault="007342E9" w:rsidP="007342E9">
      <w:r>
        <w:t>d)</w:t>
      </w:r>
      <w:r>
        <w:tab/>
        <w:t xml:space="preserve">teaching loads spread </w:t>
      </w:r>
      <w:r w:rsidR="00097FF4">
        <w:t xml:space="preserve">evenly </w:t>
      </w:r>
      <w:r>
        <w:t>over two trimesters</w:t>
      </w:r>
      <w:r w:rsidR="00097FF4">
        <w:t>;</w:t>
      </w:r>
      <w:r>
        <w:t xml:space="preserve"> </w:t>
      </w:r>
    </w:p>
    <w:p w:rsidR="007342E9" w:rsidRDefault="007342E9" w:rsidP="007342E9">
      <w:r>
        <w:t>e)</w:t>
      </w:r>
      <w:r>
        <w:tab/>
        <w:t xml:space="preserve"> team-based learning</w:t>
      </w:r>
      <w:r w:rsidR="00097FF4">
        <w:t>; and</w:t>
      </w:r>
      <w:r>
        <w:t xml:space="preserve"> </w:t>
      </w:r>
    </w:p>
    <w:p w:rsidR="009128CF" w:rsidRDefault="007342E9">
      <w:r>
        <w:t>f)</w:t>
      </w:r>
      <w:r>
        <w:tab/>
        <w:t>due regard for agreed staff development needs.</w:t>
      </w:r>
    </w:p>
    <w:p w:rsidR="00F61AB2" w:rsidRDefault="00F61AB2"/>
    <w:p w:rsidR="00F61AB2" w:rsidRPr="00FB48E0" w:rsidRDefault="00F61AB2"/>
    <w:p w:rsidR="007342E9" w:rsidRPr="00FB48E0" w:rsidRDefault="007342E9" w:rsidP="007342E9">
      <w:r w:rsidRPr="00FB48E0">
        <w:rPr>
          <w:b/>
        </w:rPr>
        <w:t xml:space="preserve">PROCESSES </w:t>
      </w:r>
    </w:p>
    <w:p w:rsidR="007342E9" w:rsidRPr="00FB48E0" w:rsidRDefault="007342E9" w:rsidP="009479B9">
      <w:pPr>
        <w:pStyle w:val="ListParagraph"/>
        <w:numPr>
          <w:ilvl w:val="0"/>
          <w:numId w:val="1"/>
        </w:numPr>
        <w:jc w:val="both"/>
      </w:pPr>
      <w:r w:rsidRPr="00FB48E0">
        <w:t>Initial workload allocations</w:t>
      </w:r>
    </w:p>
    <w:p w:rsidR="007342E9" w:rsidRDefault="00F61AB2" w:rsidP="009479B9">
      <w:pPr>
        <w:pStyle w:val="ListParagraph"/>
        <w:jc w:val="both"/>
      </w:pPr>
      <w:r>
        <w:t xml:space="preserve">Discipline groups will be collectively responsible for the collegially conducted initial planning for unit coordination and workload allocations for the following year and for advising the Deputy Head of School accordingly. Continuing staff have priority over casual staff in the allocation of EFTSL. Accordingly, if a staff member is under their designated EFTSL load (though surplus EFTSL exists within a discipline for which they have teaching expertise), then the staff member will be offered an opportunity to undertake more load.  </w:t>
      </w:r>
    </w:p>
    <w:p w:rsidR="00C736AF" w:rsidRDefault="00C736AF" w:rsidP="009479B9">
      <w:pPr>
        <w:pStyle w:val="ListParagraph"/>
        <w:jc w:val="both"/>
      </w:pPr>
    </w:p>
    <w:p w:rsidR="00097FF4" w:rsidRDefault="00097FF4" w:rsidP="007342E9">
      <w:pPr>
        <w:pStyle w:val="ListParagraph"/>
        <w:jc w:val="both"/>
      </w:pPr>
    </w:p>
    <w:p w:rsidR="00066A57" w:rsidRDefault="00097FF4" w:rsidP="00C736AF">
      <w:pPr>
        <w:pStyle w:val="ListParagraph"/>
        <w:numPr>
          <w:ilvl w:val="0"/>
          <w:numId w:val="1"/>
        </w:numPr>
        <w:tabs>
          <w:tab w:val="left" w:pos="450"/>
        </w:tabs>
        <w:spacing w:after="0" w:line="240" w:lineRule="auto"/>
        <w:jc w:val="both"/>
        <w:outlineLvl w:val="0"/>
      </w:pPr>
      <w:r>
        <w:lastRenderedPageBreak/>
        <w:t>Allocation of workloads</w:t>
      </w:r>
    </w:p>
    <w:p w:rsidR="00097FF4" w:rsidRDefault="00097FF4" w:rsidP="00066A57">
      <w:pPr>
        <w:pStyle w:val="ListParagraph"/>
        <w:tabs>
          <w:tab w:val="left" w:pos="450"/>
        </w:tabs>
        <w:spacing w:after="0" w:line="240" w:lineRule="auto"/>
        <w:jc w:val="both"/>
        <w:outlineLvl w:val="0"/>
      </w:pPr>
      <w:r>
        <w:t>The EFTSL band for the UNE Bu</w:t>
      </w:r>
      <w:r w:rsidR="00662D5C">
        <w:t xml:space="preserve">siness School is 25-33 EFTSL. </w:t>
      </w:r>
      <w:r>
        <w:t xml:space="preserve">Staff will be allocated the relevant EFTSL allocation for the coming year based on their research productivity, as per the Table contained in Appendix 1. Formal service roles in the School will be </w:t>
      </w:r>
      <w:r w:rsidR="005F3EEA">
        <w:t>recognised with specific EFTSL allocations detailed in Appendix 2.</w:t>
      </w:r>
      <w:r w:rsidR="00066A57">
        <w:t xml:space="preserve">  </w:t>
      </w:r>
      <w:r w:rsidR="00066A57" w:rsidRPr="00066A57">
        <w:t xml:space="preserve">Early Career Researchers (Levels A or B, and within 5 years of their PhD) </w:t>
      </w:r>
      <w:r w:rsidR="00066A57">
        <w:t>will be allocated</w:t>
      </w:r>
      <w:r w:rsidR="00066A57" w:rsidRPr="00066A57">
        <w:t xml:space="preserve"> 25 EFTSL for the first two years of their appointment as they seek to establish their research activity</w:t>
      </w:r>
      <w:r w:rsidR="00066A57">
        <w:t>.</w:t>
      </w:r>
    </w:p>
    <w:p w:rsidR="00D77576" w:rsidRPr="00FB48E0" w:rsidRDefault="00D77576" w:rsidP="00D77576">
      <w:pPr>
        <w:pStyle w:val="ListParagraph"/>
        <w:jc w:val="both"/>
      </w:pPr>
    </w:p>
    <w:p w:rsidR="00D77576" w:rsidRPr="00FB48E0" w:rsidRDefault="00D77576" w:rsidP="00C736AF">
      <w:pPr>
        <w:pStyle w:val="ListParagraph"/>
        <w:numPr>
          <w:ilvl w:val="0"/>
          <w:numId w:val="1"/>
        </w:numPr>
        <w:spacing w:after="0"/>
      </w:pPr>
      <w:r w:rsidRPr="00FB48E0">
        <w:t xml:space="preserve">Coordination duties </w:t>
      </w:r>
      <w:r w:rsidR="00662D5C">
        <w:t xml:space="preserve">are </w:t>
      </w:r>
      <w:r w:rsidR="003E5C9C">
        <w:t xml:space="preserve">the responsibility of </w:t>
      </w:r>
      <w:r w:rsidRPr="00FB48E0">
        <w:t xml:space="preserve"> continuing staff members </w:t>
      </w:r>
    </w:p>
    <w:p w:rsidR="00D77576" w:rsidRPr="00FB48E0" w:rsidRDefault="00D77576" w:rsidP="00C736AF">
      <w:pPr>
        <w:pStyle w:val="ListParagraph"/>
        <w:spacing w:after="0"/>
      </w:pPr>
      <w:r w:rsidRPr="00FB48E0">
        <w:t xml:space="preserve">All units will be coordinated by a continuing staff member, except for special cases approved in writing by the Head of School arising from the demonstrable </w:t>
      </w:r>
      <w:r w:rsidR="00C740D4">
        <w:t>difficulty</w:t>
      </w:r>
      <w:r w:rsidRPr="00FB48E0">
        <w:t xml:space="preserve"> of fulfilling this requirement.</w:t>
      </w:r>
    </w:p>
    <w:p w:rsidR="00D77576" w:rsidRDefault="00D77576" w:rsidP="00D77576">
      <w:pPr>
        <w:pStyle w:val="ListParagraph"/>
      </w:pPr>
    </w:p>
    <w:p w:rsidR="00662D5C" w:rsidRPr="00FB48E0" w:rsidRDefault="00662D5C" w:rsidP="00662D5C">
      <w:pPr>
        <w:pStyle w:val="ListParagraph"/>
        <w:numPr>
          <w:ilvl w:val="0"/>
          <w:numId w:val="1"/>
        </w:numPr>
      </w:pPr>
      <w:r w:rsidRPr="00FB48E0">
        <w:t>Online teaching hours calculations</w:t>
      </w:r>
    </w:p>
    <w:p w:rsidR="00662D5C" w:rsidRPr="00FB48E0" w:rsidRDefault="00662D5C" w:rsidP="00662D5C">
      <w:pPr>
        <w:pStyle w:val="ListParagraph"/>
        <w:jc w:val="both"/>
      </w:pPr>
      <w:r>
        <w:t>For the purpose of calculating workload for team teaching and casual assistance o</w:t>
      </w:r>
      <w:r w:rsidRPr="00FB48E0">
        <w:t>n-line teaching will be counted as face-to-face teaching on the basis of one session for each 30 external students with the first such session being equal to three hours work (one hour of delivery and two hours of associated working time). The teaching of second and subsequent groups of 30 students will be considered equal to two hours work (one hour of delivery and one hour of associated work).</w:t>
      </w:r>
    </w:p>
    <w:p w:rsidR="00662D5C" w:rsidRPr="00FB48E0" w:rsidRDefault="00662D5C" w:rsidP="00D77576">
      <w:pPr>
        <w:pStyle w:val="ListParagraph"/>
      </w:pPr>
    </w:p>
    <w:p w:rsidR="00B773BC" w:rsidRPr="00FB48E0" w:rsidRDefault="00B773BC" w:rsidP="00B773BC">
      <w:pPr>
        <w:pStyle w:val="ListParagraph"/>
        <w:numPr>
          <w:ilvl w:val="0"/>
          <w:numId w:val="1"/>
        </w:numPr>
      </w:pPr>
      <w:r w:rsidRPr="00FB48E0">
        <w:t>Announcement of workloads</w:t>
      </w:r>
    </w:p>
    <w:p w:rsidR="00D77576" w:rsidRDefault="007342E9" w:rsidP="009921DE">
      <w:pPr>
        <w:pStyle w:val="ListParagraph"/>
      </w:pPr>
      <w:r w:rsidRPr="00FB48E0">
        <w:t>The</w:t>
      </w:r>
      <w:r w:rsidR="00C740D4">
        <w:t xml:space="preserve"> Deputy </w:t>
      </w:r>
      <w:r w:rsidRPr="00FB48E0">
        <w:t xml:space="preserve">Head of School will </w:t>
      </w:r>
      <w:r w:rsidR="009773C4">
        <w:t>circulate</w:t>
      </w:r>
      <w:r w:rsidR="009128CF" w:rsidRPr="00FB48E0">
        <w:t xml:space="preserve"> workloads as soon as practicable after each trimester’s census dates</w:t>
      </w:r>
      <w:r w:rsidR="00FB48E0" w:rsidRPr="00FB48E0">
        <w:t xml:space="preserve">. </w:t>
      </w:r>
      <w:r w:rsidR="009128CF" w:rsidRPr="00FB48E0">
        <w:t xml:space="preserve"> </w:t>
      </w:r>
      <w:r w:rsidR="00FB48E0" w:rsidRPr="00FB48E0">
        <w:t>The workloads would be actual for the current trimester, prospective for the remaining trimesters and would also specify any teaching not yet covered.</w:t>
      </w:r>
    </w:p>
    <w:p w:rsidR="00097FF4" w:rsidRDefault="00097FF4" w:rsidP="009921DE">
      <w:pPr>
        <w:pStyle w:val="ListParagraph"/>
      </w:pPr>
    </w:p>
    <w:p w:rsidR="00097FF4" w:rsidRPr="00FB48E0" w:rsidRDefault="00097FF4" w:rsidP="009921DE">
      <w:pPr>
        <w:pStyle w:val="ListParagraph"/>
      </w:pPr>
      <w:r>
        <w:t>The workloads of casual staff will be published separately as soon as practicable after the trimester 3 census date</w:t>
      </w:r>
      <w:r w:rsidR="00F61AB2">
        <w:t>.</w:t>
      </w:r>
    </w:p>
    <w:p w:rsidR="00FB48E0" w:rsidRPr="00FB48E0" w:rsidRDefault="00FB48E0" w:rsidP="00B773BC">
      <w:pPr>
        <w:pStyle w:val="ListParagraph"/>
      </w:pPr>
    </w:p>
    <w:p w:rsidR="00662D5C" w:rsidRDefault="00662D5C" w:rsidP="00662D5C">
      <w:pPr>
        <w:pStyle w:val="ListParagraph"/>
        <w:numPr>
          <w:ilvl w:val="0"/>
          <w:numId w:val="1"/>
        </w:numPr>
      </w:pPr>
      <w:r>
        <w:t>Carryover of excess load</w:t>
      </w:r>
    </w:p>
    <w:p w:rsidR="00662D5C" w:rsidRDefault="00662D5C" w:rsidP="00662D5C">
      <w:pPr>
        <w:pStyle w:val="ListParagraph"/>
      </w:pPr>
      <w:r>
        <w:t>It is expected that reasonable steps are undertaken to manage EFTSL load consistent with the allocated load and there will normally be no carryover of load from one year to the next.   Where there are exceptional circumstances when staff cannot find colleagues or appropriate casual teachers to absorb their forecast excess load, despite strenuous efforts to do so, carryover will be agreed with the Head of School.</w:t>
      </w:r>
    </w:p>
    <w:p w:rsidR="00662D5C" w:rsidRDefault="00662D5C" w:rsidP="00662D5C">
      <w:pPr>
        <w:pStyle w:val="ListParagraph"/>
      </w:pPr>
    </w:p>
    <w:p w:rsidR="008A495E" w:rsidRDefault="008A495E" w:rsidP="00662D5C">
      <w:pPr>
        <w:pStyle w:val="ListParagraph"/>
        <w:numPr>
          <w:ilvl w:val="0"/>
          <w:numId w:val="1"/>
        </w:numPr>
      </w:pPr>
      <w:r w:rsidRPr="00FB48E0">
        <w:t>SSP</w:t>
      </w:r>
    </w:p>
    <w:p w:rsidR="00C740D4" w:rsidRDefault="00C740D4" w:rsidP="00C740D4">
      <w:pPr>
        <w:pStyle w:val="ListParagraph"/>
      </w:pPr>
      <w:r>
        <w:t xml:space="preserve">Staff who qualify for SSP and are granted one trimester or two trimesters SSP will have their annual teaching workload reduced by 50 per cent.  The SSP will be taken in one of the staff member’s two teaching trimesters. The remaining 50% of workload will be taught in the remaining one teaching trimester.   </w:t>
      </w:r>
    </w:p>
    <w:p w:rsidR="00C736AF" w:rsidRDefault="00C736AF" w:rsidP="00C740D4">
      <w:pPr>
        <w:pStyle w:val="ListParagraph"/>
      </w:pPr>
    </w:p>
    <w:p w:rsidR="00C736AF" w:rsidRDefault="00C736AF" w:rsidP="00C740D4">
      <w:pPr>
        <w:pStyle w:val="ListParagraph"/>
      </w:pPr>
    </w:p>
    <w:p w:rsidR="00C736AF" w:rsidRDefault="00C736AF" w:rsidP="00C740D4">
      <w:pPr>
        <w:pStyle w:val="ListParagraph"/>
      </w:pPr>
    </w:p>
    <w:p w:rsidR="00C740D4" w:rsidRPr="00FB48E0" w:rsidRDefault="00C740D4" w:rsidP="00C740D4">
      <w:pPr>
        <w:pStyle w:val="ListParagraph"/>
      </w:pPr>
    </w:p>
    <w:p w:rsidR="00ED285C" w:rsidRPr="00FB48E0" w:rsidRDefault="00C740D4" w:rsidP="007342E9">
      <w:pPr>
        <w:pStyle w:val="ListParagraph"/>
        <w:numPr>
          <w:ilvl w:val="0"/>
          <w:numId w:val="1"/>
        </w:numPr>
      </w:pPr>
      <w:r>
        <w:lastRenderedPageBreak/>
        <w:t xml:space="preserve">Adjustments for LSL </w:t>
      </w:r>
      <w:r w:rsidR="00ED285C" w:rsidRPr="00FB48E0">
        <w:t xml:space="preserve"> </w:t>
      </w:r>
    </w:p>
    <w:p w:rsidR="007342E9" w:rsidRPr="00FB48E0" w:rsidRDefault="00004A2A" w:rsidP="00ED285C">
      <w:pPr>
        <w:pStyle w:val="ListParagraph"/>
        <w:jc w:val="both"/>
      </w:pPr>
      <w:r>
        <w:t>Staff who take</w:t>
      </w:r>
      <w:r w:rsidR="007342E9" w:rsidRPr="00FB48E0">
        <w:t xml:space="preserve"> Long Service Leave (LSL) will have their teaching workloads reduced by the proportion of the workload period that is occupied by their LSL. For example: a staff member who</w:t>
      </w:r>
      <w:r>
        <w:t xml:space="preserve"> takes</w:t>
      </w:r>
      <w:r w:rsidR="007342E9" w:rsidRPr="00FB48E0">
        <w:t xml:space="preserve"> ten weeks of LSL will have their teaching workload reduced by 10/48 (i</w:t>
      </w:r>
      <w:r w:rsidR="00ED285C" w:rsidRPr="00FB48E0">
        <w:t xml:space="preserve"> </w:t>
      </w:r>
      <w:r w:rsidR="007342E9" w:rsidRPr="00FB48E0">
        <w:t xml:space="preserve">e. 21%). </w:t>
      </w:r>
    </w:p>
    <w:p w:rsidR="00ED285C" w:rsidRPr="00FB48E0" w:rsidRDefault="00ED285C" w:rsidP="00ED285C">
      <w:pPr>
        <w:pStyle w:val="ListParagraph"/>
        <w:jc w:val="both"/>
      </w:pPr>
    </w:p>
    <w:p w:rsidR="00ED285C" w:rsidRPr="00FB48E0" w:rsidRDefault="00ED285C" w:rsidP="00ED285C">
      <w:pPr>
        <w:pStyle w:val="ListParagraph"/>
        <w:numPr>
          <w:ilvl w:val="0"/>
          <w:numId w:val="1"/>
        </w:numPr>
      </w:pPr>
      <w:r w:rsidRPr="00FB48E0">
        <w:t>HDR supervision while on leave</w:t>
      </w:r>
    </w:p>
    <w:p w:rsidR="007342E9" w:rsidRPr="00FB48E0" w:rsidRDefault="007342E9" w:rsidP="00ED285C">
      <w:pPr>
        <w:pStyle w:val="ListParagraph"/>
        <w:jc w:val="both"/>
      </w:pPr>
      <w:r w:rsidRPr="00FB48E0">
        <w:t>While on SSP</w:t>
      </w:r>
      <w:r w:rsidR="00ED285C" w:rsidRPr="00FB48E0">
        <w:t xml:space="preserve"> or LSL</w:t>
      </w:r>
      <w:r w:rsidRPr="00FB48E0">
        <w:t>, whatever provisions regard</w:t>
      </w:r>
      <w:r w:rsidR="00C740D4">
        <w:t xml:space="preserve">ing HDR supervision are agreed </w:t>
      </w:r>
      <w:r w:rsidRPr="00FB48E0">
        <w:t xml:space="preserve">by the HoS and </w:t>
      </w:r>
      <w:r w:rsidR="00C740D4">
        <w:t>P</w:t>
      </w:r>
      <w:r w:rsidRPr="00FB48E0">
        <w:t>DVC, those same provisions will apply to the staff member’s workload. It is the responsibility of the staff member who is taking SSP</w:t>
      </w:r>
      <w:r w:rsidR="00ED285C" w:rsidRPr="00FB48E0">
        <w:t xml:space="preserve"> or LSL</w:t>
      </w:r>
      <w:r w:rsidRPr="00FB48E0">
        <w:t xml:space="preserve"> to clearly inform the Deputy Head of School of arrangements agreed to, regarding HDR supervision. If a staff member chooses to continue supervising HDR students while on SSP</w:t>
      </w:r>
      <w:r w:rsidR="00ED285C" w:rsidRPr="00FB48E0">
        <w:t xml:space="preserve"> or LSL</w:t>
      </w:r>
      <w:r w:rsidRPr="00FB48E0">
        <w:t>, the EFTSL that would normally accrue from such teaching will not be included in that staff member’s workload calculation.</w:t>
      </w:r>
    </w:p>
    <w:p w:rsidR="00ED285C" w:rsidRPr="00FB48E0" w:rsidRDefault="00ED285C" w:rsidP="00ED285C">
      <w:pPr>
        <w:pStyle w:val="ListParagraph"/>
        <w:jc w:val="both"/>
      </w:pPr>
    </w:p>
    <w:p w:rsidR="00ED285C" w:rsidRPr="00FB48E0" w:rsidRDefault="00ED285C" w:rsidP="00ED285C">
      <w:pPr>
        <w:pStyle w:val="ListParagraph"/>
        <w:numPr>
          <w:ilvl w:val="0"/>
          <w:numId w:val="1"/>
        </w:numPr>
      </w:pPr>
      <w:r w:rsidRPr="00FB48E0">
        <w:t>EFTSL value of HDR supervisions</w:t>
      </w:r>
      <w:r w:rsidR="003E5C9C">
        <w:t xml:space="preserve">  and </w:t>
      </w:r>
      <w:r w:rsidR="003E5C9C" w:rsidRPr="00FB48E0">
        <w:t>Special Topics, Honours dissertations and Masters minor dissertations</w:t>
      </w:r>
    </w:p>
    <w:p w:rsidR="007342E9" w:rsidRPr="00FB48E0" w:rsidRDefault="007342E9" w:rsidP="00ED285C">
      <w:pPr>
        <w:pStyle w:val="ListParagraph"/>
        <w:jc w:val="both"/>
      </w:pPr>
      <w:r w:rsidRPr="00FB48E0">
        <w:t xml:space="preserve">Supervision of </w:t>
      </w:r>
      <w:r w:rsidR="00ED285C" w:rsidRPr="00FB48E0">
        <w:t xml:space="preserve">full time </w:t>
      </w:r>
      <w:r w:rsidRPr="00FB48E0">
        <w:t>Honours and Masters dissertations will be allocated one EFTSL. Doctoral supervisions will be allocated two. These allocations apply only during the agreed enrolment period and exclude any leave periods taken by the student during their years enrolled.</w:t>
      </w:r>
      <w:r w:rsidR="00F10FD0">
        <w:t xml:space="preserve"> Less than full time supervision will be allocate EFTSL Pro rata.</w:t>
      </w:r>
    </w:p>
    <w:p w:rsidR="00D77576" w:rsidRPr="00FB48E0" w:rsidRDefault="00D77576" w:rsidP="00ED285C">
      <w:pPr>
        <w:pStyle w:val="ListParagraph"/>
        <w:jc w:val="both"/>
      </w:pPr>
    </w:p>
    <w:p w:rsidR="007342E9" w:rsidRPr="00FB48E0" w:rsidRDefault="007342E9" w:rsidP="00ED285C">
      <w:pPr>
        <w:pStyle w:val="ListParagraph"/>
      </w:pPr>
      <w:r w:rsidRPr="00FB48E0">
        <w:t xml:space="preserve">EFTSL arising from enrolments in </w:t>
      </w:r>
      <w:r w:rsidR="003E5C9C" w:rsidRPr="00FB48E0">
        <w:t>Special Topics, Honours dissertations and Masters minor dissertations</w:t>
      </w:r>
      <w:r w:rsidR="003E5C9C">
        <w:t xml:space="preserve"> </w:t>
      </w:r>
      <w:r w:rsidRPr="00FB48E0">
        <w:t xml:space="preserve">units will be allocated to the staff member who actually does the teaching. </w:t>
      </w:r>
    </w:p>
    <w:p w:rsidR="00D77576" w:rsidRPr="00FB48E0" w:rsidRDefault="00D77576" w:rsidP="00ED285C">
      <w:pPr>
        <w:pStyle w:val="ListParagraph"/>
      </w:pPr>
    </w:p>
    <w:p w:rsidR="00ED285C" w:rsidRPr="00FB48E0" w:rsidRDefault="00ED285C" w:rsidP="00ED285C">
      <w:pPr>
        <w:pStyle w:val="ListParagraph"/>
        <w:numPr>
          <w:ilvl w:val="0"/>
          <w:numId w:val="1"/>
        </w:numPr>
      </w:pPr>
      <w:r w:rsidRPr="00FB48E0">
        <w:t>Appeal procedures</w:t>
      </w:r>
    </w:p>
    <w:p w:rsidR="007342E9" w:rsidRPr="00FB48E0" w:rsidRDefault="007342E9" w:rsidP="00D77576">
      <w:pPr>
        <w:pStyle w:val="ListParagraph"/>
      </w:pPr>
      <w:r w:rsidRPr="00FB48E0">
        <w:t>Academic staff have two weeks to appeal their workload allocation. In the first instance, a meeting will be held with the Deputy Head of School to try to resolve the situation.  If the staff member and the Deputy Head of School cannot reach agreement, an appeal should be directed to the Head of School who may consult the School Executive Committee before making a ruling or may summarily de</w:t>
      </w:r>
      <w:r w:rsidR="00ED285C" w:rsidRPr="00FB48E0">
        <w:t>c</w:t>
      </w:r>
      <w:r w:rsidRPr="00FB48E0">
        <w:t>ide the issue, depending on the factors preventing agreement. Thereafter, disputes about workloads will be resolved using the D</w:t>
      </w:r>
      <w:r w:rsidR="00B230EA" w:rsidRPr="00FB48E0">
        <w:t>ispute Settlement Procedures of</w:t>
      </w:r>
      <w:r w:rsidRPr="00FB48E0">
        <w:t xml:space="preserve"> the UNE Academic and ELC Teaching Staff Collective Agreement 2014-17.</w:t>
      </w:r>
    </w:p>
    <w:p w:rsidR="00D77576" w:rsidRPr="00FB48E0" w:rsidRDefault="00D77576" w:rsidP="00D77576">
      <w:pPr>
        <w:pStyle w:val="ListParagraph"/>
      </w:pPr>
    </w:p>
    <w:p w:rsidR="00ED285C" w:rsidRDefault="00ED285C" w:rsidP="00ED285C">
      <w:pPr>
        <w:pStyle w:val="ListParagraph"/>
        <w:numPr>
          <w:ilvl w:val="0"/>
          <w:numId w:val="1"/>
        </w:numPr>
      </w:pPr>
      <w:r w:rsidRPr="00FB48E0">
        <w:t>Annual Policy Review</w:t>
      </w:r>
    </w:p>
    <w:p w:rsidR="00F10FD0" w:rsidRDefault="00F10FD0" w:rsidP="00F10FD0">
      <w:pPr>
        <w:pStyle w:val="ListParagraph"/>
      </w:pPr>
      <w:r w:rsidRPr="00FB48E0">
        <w:t>The School Workloads Committee will review this Policy annually so as to produce a draft Policy for the subsequent year before 1</w:t>
      </w:r>
      <w:r w:rsidRPr="00FB48E0">
        <w:rPr>
          <w:vertAlign w:val="superscript"/>
        </w:rPr>
        <w:t>st</w:t>
      </w:r>
      <w:r w:rsidRPr="00FB48E0">
        <w:t xml:space="preserve"> December of the current year.</w:t>
      </w:r>
    </w:p>
    <w:p w:rsidR="003E5C9C" w:rsidRDefault="003E5C9C" w:rsidP="00F10FD0">
      <w:pPr>
        <w:pStyle w:val="ListParagraph"/>
      </w:pPr>
    </w:p>
    <w:p w:rsidR="00F10FD0" w:rsidRDefault="00F10FD0" w:rsidP="00ED285C">
      <w:pPr>
        <w:pStyle w:val="ListParagraph"/>
        <w:numPr>
          <w:ilvl w:val="0"/>
          <w:numId w:val="1"/>
        </w:numPr>
      </w:pPr>
      <w:r>
        <w:t>The appended tables are part of this policy</w:t>
      </w:r>
    </w:p>
    <w:p w:rsidR="00662D5C" w:rsidRDefault="00662D5C">
      <w:r>
        <w:br w:type="page"/>
      </w:r>
    </w:p>
    <w:p w:rsidR="0061691E" w:rsidRDefault="00097FF4" w:rsidP="00C736AF">
      <w:pPr>
        <w:pStyle w:val="ListParagraph"/>
        <w:ind w:left="0"/>
      </w:pPr>
      <w:bookmarkStart w:id="0" w:name="_GoBack"/>
      <w:bookmarkEnd w:id="0"/>
      <w:r>
        <w:lastRenderedPageBreak/>
        <w:t xml:space="preserve">Appendix 1 Impact of </w:t>
      </w:r>
      <w:r w:rsidR="0061691E">
        <w:t xml:space="preserve">Research </w:t>
      </w:r>
      <w:r>
        <w:t xml:space="preserve">Activity on </w:t>
      </w:r>
      <w:r w:rsidR="0061691E">
        <w:t>Workload</w:t>
      </w:r>
      <w:r>
        <w:t>s</w:t>
      </w:r>
      <w:r w:rsidR="0061691E">
        <w:t xml:space="preserve"> </w:t>
      </w:r>
    </w:p>
    <w:p w:rsidR="00C740D4" w:rsidRDefault="00C740D4" w:rsidP="0061691E">
      <w:pPr>
        <w:pStyle w:val="ListParagraph"/>
      </w:pPr>
    </w:p>
    <w:p w:rsidR="00E16408" w:rsidRDefault="00E16408" w:rsidP="00E16408">
      <w:pPr>
        <w:pStyle w:val="Title"/>
        <w:rPr>
          <w:sz w:val="32"/>
          <w:szCs w:val="32"/>
        </w:rPr>
      </w:pPr>
      <w:r>
        <w:rPr>
          <w:sz w:val="32"/>
          <w:szCs w:val="32"/>
        </w:rPr>
        <w:t xml:space="preserve">Research Workload Model </w:t>
      </w:r>
    </w:p>
    <w:p w:rsidR="00E16408" w:rsidRDefault="00E16408" w:rsidP="00E16408">
      <w:pPr>
        <w:pStyle w:val="Title"/>
        <w:rPr>
          <w:sz w:val="32"/>
          <w:szCs w:val="32"/>
        </w:rPr>
      </w:pPr>
      <w:r w:rsidRPr="00E504C1">
        <w:rPr>
          <w:sz w:val="32"/>
          <w:szCs w:val="32"/>
        </w:rPr>
        <w:t>UNE Business School</w:t>
      </w:r>
      <w:r>
        <w:rPr>
          <w:sz w:val="32"/>
          <w:szCs w:val="32"/>
        </w:rPr>
        <w:t>,</w:t>
      </w:r>
      <w:r w:rsidRPr="00E504C1">
        <w:rPr>
          <w:sz w:val="32"/>
          <w:szCs w:val="32"/>
        </w:rPr>
        <w:t xml:space="preserve"> </w:t>
      </w:r>
      <w:r>
        <w:rPr>
          <w:sz w:val="32"/>
          <w:szCs w:val="32"/>
        </w:rPr>
        <w:t>2016</w:t>
      </w:r>
    </w:p>
    <w:p w:rsidR="00E16408" w:rsidRPr="00143973" w:rsidRDefault="00E16408" w:rsidP="00E16408">
      <w:pPr>
        <w:pStyle w:val="Heading2"/>
        <w:rPr>
          <w:rFonts w:ascii="Times New Roman" w:eastAsiaTheme="minorHAnsi" w:hAnsi="Times New Roman" w:cstheme="minorBidi"/>
          <w:b w:val="0"/>
          <w:bCs w:val="0"/>
          <w:color w:val="auto"/>
          <w:sz w:val="24"/>
          <w:szCs w:val="22"/>
        </w:rPr>
      </w:pPr>
      <w:r w:rsidRPr="00143973">
        <w:rPr>
          <w:rFonts w:ascii="Times New Roman" w:eastAsiaTheme="minorHAnsi" w:hAnsi="Times New Roman" w:cstheme="minorBidi"/>
          <w:b w:val="0"/>
          <w:bCs w:val="0"/>
          <w:color w:val="auto"/>
          <w:sz w:val="24"/>
          <w:szCs w:val="22"/>
        </w:rPr>
        <w:t xml:space="preserve">The </w:t>
      </w:r>
      <w:r>
        <w:rPr>
          <w:rFonts w:ascii="Times New Roman" w:eastAsiaTheme="minorHAnsi" w:hAnsi="Times New Roman" w:cstheme="minorBidi"/>
          <w:b w:val="0"/>
          <w:bCs w:val="0"/>
          <w:color w:val="auto"/>
          <w:sz w:val="24"/>
          <w:szCs w:val="22"/>
        </w:rPr>
        <w:t>calculation of research productivity for the purpose of workload allocation is based on the quantity and quality of publications produced over the previous three years. The maximum teaching load of 33 EFTSL can be reduced by up to 8 EFTSL depending on research productivity. This means that the load for the most productive researchers is 25 EFTSL. The expectation of research productivity of staff increases with their academic level. The bar is set highest for level E and it decreases proportionally to salary for levels D, C and B.</w:t>
      </w:r>
    </w:p>
    <w:p w:rsidR="00E16408" w:rsidRDefault="00E16408" w:rsidP="00E16408">
      <w:pPr>
        <w:pStyle w:val="Heading2"/>
      </w:pPr>
      <w:r>
        <w:t>Points assigned to research outputs</w:t>
      </w:r>
    </w:p>
    <w:p w:rsidR="00E16408" w:rsidRDefault="00E16408" w:rsidP="00E16408">
      <w:r>
        <w:t>The points assigned to a publication are adjusted according to the number of authors and the quality of the output. The proportion (</w:t>
      </w:r>
      <w:r w:rsidRPr="005471D9">
        <w:rPr>
          <w:i/>
        </w:rPr>
        <w:t>X</w:t>
      </w:r>
      <w:r>
        <w:t>) of a publication assigned to an author is calculated based on the number of authors (</w:t>
      </w:r>
      <w:r w:rsidRPr="004B6C2F">
        <w:rPr>
          <w:i/>
        </w:rPr>
        <w:t>N</w:t>
      </w:r>
      <w:r>
        <w:t xml:space="preserve">) as </w:t>
      </w:r>
      <w:r w:rsidRPr="004B6C2F">
        <w:rPr>
          <w:i/>
        </w:rPr>
        <w:t>X</w:t>
      </w:r>
      <w:r>
        <w:t xml:space="preserve"> = (1 + 1/</w:t>
      </w:r>
      <w:r w:rsidRPr="004B6C2F">
        <w:rPr>
          <w:i/>
        </w:rPr>
        <w:t>N</w:t>
      </w:r>
      <w:r>
        <w:t xml:space="preserve">)/2. This method gives higher weight to single-authored outputs but still encourages collaboration by introducing only a small and decreasing penalty for each additional author.  </w:t>
      </w:r>
    </w:p>
    <w:p w:rsidR="00E16408" w:rsidRDefault="00E16408" w:rsidP="00E16408">
      <w:r>
        <w:t xml:space="preserve">The author proportion for each publication is then multiplied by the number of points accrued by the output type, as defined in Table 1. </w:t>
      </w:r>
    </w:p>
    <w:p w:rsidR="00E16408" w:rsidRPr="008205E7" w:rsidRDefault="00E16408" w:rsidP="00E16408">
      <w:pPr>
        <w:jc w:val="center"/>
        <w:rPr>
          <w:sz w:val="20"/>
          <w:szCs w:val="20"/>
        </w:rPr>
      </w:pPr>
      <w:r>
        <w:rPr>
          <w:sz w:val="20"/>
          <w:szCs w:val="20"/>
        </w:rPr>
        <w:t>Table 1</w:t>
      </w:r>
      <w:r w:rsidRPr="008205E7">
        <w:rPr>
          <w:sz w:val="20"/>
          <w:szCs w:val="20"/>
        </w:rPr>
        <w:t>. Points assigned to each academic level per publication type</w:t>
      </w:r>
      <w:r>
        <w:rPr>
          <w:sz w:val="20"/>
          <w:szCs w:val="20"/>
        </w:rPr>
        <w:t xml:space="preserve"> under the research workload model (Model)</w:t>
      </w:r>
      <w:r w:rsidRPr="008205E7">
        <w:rPr>
          <w:sz w:val="20"/>
          <w:szCs w:val="20"/>
        </w:rPr>
        <w:t>.</w:t>
      </w:r>
    </w:p>
    <w:tbl>
      <w:tblPr>
        <w:tblW w:w="326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960"/>
      </w:tblGrid>
      <w:tr w:rsidR="00E16408" w:rsidRPr="00AF6060" w:rsidTr="00233268">
        <w:trPr>
          <w:trHeight w:val="300"/>
          <w:jc w:val="center"/>
        </w:trPr>
        <w:tc>
          <w:tcPr>
            <w:tcW w:w="2305" w:type="dxa"/>
            <w:shd w:val="clear" w:color="000000" w:fill="B6DDE8" w:themeFill="accent5" w:themeFillTint="66"/>
            <w:noWrap/>
            <w:vAlign w:val="bottom"/>
          </w:tcPr>
          <w:p w:rsidR="00E16408" w:rsidRPr="00AF6060" w:rsidRDefault="00E16408" w:rsidP="00233268">
            <w:pPr>
              <w:spacing w:after="0" w:line="240" w:lineRule="auto"/>
              <w:rPr>
                <w:rFonts w:ascii="Calibri" w:eastAsia="Times New Roman" w:hAnsi="Calibri" w:cs="Times New Roman"/>
                <w:color w:val="000000"/>
              </w:rPr>
            </w:pPr>
            <w:r>
              <w:rPr>
                <w:rFonts w:ascii="Calibri" w:eastAsia="Times New Roman" w:hAnsi="Calibri" w:cs="Times New Roman"/>
                <w:color w:val="000000"/>
              </w:rPr>
              <w:t>Output type</w:t>
            </w:r>
          </w:p>
        </w:tc>
        <w:tc>
          <w:tcPr>
            <w:tcW w:w="960" w:type="dxa"/>
            <w:shd w:val="clear" w:color="auto" w:fill="B6DDE8" w:themeFill="accent5" w:themeFillTint="66"/>
            <w:noWrap/>
            <w:vAlign w:val="bottom"/>
          </w:tcPr>
          <w:p w:rsidR="00E16408" w:rsidRPr="00AF6060" w:rsidRDefault="00E16408" w:rsidP="00233268">
            <w:pPr>
              <w:spacing w:after="0" w:line="240" w:lineRule="auto"/>
              <w:rPr>
                <w:rFonts w:ascii="Calibri" w:eastAsia="Times New Roman" w:hAnsi="Calibri" w:cs="Times New Roman"/>
                <w:color w:val="000000"/>
              </w:rPr>
            </w:pPr>
            <w:r>
              <w:rPr>
                <w:rFonts w:ascii="Calibri" w:eastAsia="Times New Roman" w:hAnsi="Calibri" w:cs="Times New Roman"/>
                <w:color w:val="000000"/>
              </w:rPr>
              <w:t>Points</w:t>
            </w:r>
          </w:p>
        </w:tc>
      </w:tr>
      <w:tr w:rsidR="00E16408" w:rsidRPr="00AF6060" w:rsidTr="00233268">
        <w:trPr>
          <w:trHeight w:val="300"/>
          <w:jc w:val="center"/>
        </w:trPr>
        <w:tc>
          <w:tcPr>
            <w:tcW w:w="2305" w:type="dxa"/>
            <w:shd w:val="clear" w:color="000000" w:fill="B6DDE8" w:themeFill="accent5" w:themeFillTint="66"/>
            <w:noWrap/>
            <w:vAlign w:val="bottom"/>
          </w:tcPr>
          <w:p w:rsidR="00E16408" w:rsidRPr="00AF6060" w:rsidRDefault="00E16408" w:rsidP="00233268">
            <w:pPr>
              <w:spacing w:after="0" w:line="240" w:lineRule="auto"/>
              <w:rPr>
                <w:rFonts w:ascii="Calibri" w:eastAsia="Times New Roman" w:hAnsi="Calibri" w:cs="Times New Roman"/>
                <w:color w:val="000000"/>
              </w:rPr>
            </w:pPr>
            <w:r>
              <w:rPr>
                <w:rFonts w:ascii="Calibri" w:eastAsia="Times New Roman" w:hAnsi="Calibri" w:cs="Times New Roman"/>
                <w:color w:val="000000"/>
              </w:rPr>
              <w:t>Journal papers:</w:t>
            </w:r>
          </w:p>
        </w:tc>
        <w:tc>
          <w:tcPr>
            <w:tcW w:w="960" w:type="dxa"/>
            <w:shd w:val="clear" w:color="auto" w:fill="auto"/>
            <w:noWrap/>
            <w:vAlign w:val="bottom"/>
          </w:tcPr>
          <w:p w:rsidR="00E16408" w:rsidRDefault="00E16408" w:rsidP="00233268">
            <w:pPr>
              <w:spacing w:after="0" w:line="240" w:lineRule="auto"/>
              <w:jc w:val="center"/>
              <w:rPr>
                <w:rFonts w:ascii="Calibri" w:hAnsi="Calibri"/>
                <w:color w:val="000000"/>
              </w:rPr>
            </w:pPr>
          </w:p>
        </w:tc>
      </w:tr>
      <w:tr w:rsidR="00E16408" w:rsidRPr="00AF6060" w:rsidTr="00233268">
        <w:trPr>
          <w:trHeight w:val="300"/>
          <w:jc w:val="center"/>
        </w:trPr>
        <w:tc>
          <w:tcPr>
            <w:tcW w:w="2305" w:type="dxa"/>
            <w:shd w:val="clear" w:color="000000" w:fill="B6DDE8" w:themeFill="accent5" w:themeFillTint="66"/>
            <w:noWrap/>
            <w:vAlign w:val="bottom"/>
            <w:hideMark/>
          </w:tcPr>
          <w:p w:rsidR="00E16408" w:rsidRPr="00AF6060" w:rsidRDefault="00E16408" w:rsidP="002332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AF6060">
              <w:rPr>
                <w:rFonts w:ascii="Calibri" w:eastAsia="Times New Roman" w:hAnsi="Calibri" w:cs="Times New Roman"/>
                <w:color w:val="000000"/>
              </w:rPr>
              <w:t>A*</w:t>
            </w:r>
          </w:p>
        </w:tc>
        <w:tc>
          <w:tcPr>
            <w:tcW w:w="960" w:type="dxa"/>
            <w:shd w:val="clear" w:color="auto" w:fill="auto"/>
            <w:noWrap/>
            <w:vAlign w:val="bottom"/>
            <w:hideMark/>
          </w:tcPr>
          <w:p w:rsidR="00E16408" w:rsidRDefault="00E16408" w:rsidP="00233268">
            <w:pPr>
              <w:spacing w:after="0" w:line="240" w:lineRule="auto"/>
              <w:jc w:val="center"/>
              <w:rPr>
                <w:rFonts w:ascii="Calibri" w:hAnsi="Calibri"/>
                <w:color w:val="000000"/>
              </w:rPr>
            </w:pPr>
            <w:r>
              <w:rPr>
                <w:rFonts w:ascii="Calibri" w:hAnsi="Calibri"/>
                <w:color w:val="000000"/>
              </w:rPr>
              <w:t>10</w:t>
            </w:r>
          </w:p>
        </w:tc>
      </w:tr>
      <w:tr w:rsidR="00E16408" w:rsidRPr="00AF6060" w:rsidTr="00233268">
        <w:trPr>
          <w:trHeight w:val="300"/>
          <w:jc w:val="center"/>
        </w:trPr>
        <w:tc>
          <w:tcPr>
            <w:tcW w:w="2305" w:type="dxa"/>
            <w:shd w:val="clear" w:color="000000" w:fill="B6DDE8" w:themeFill="accent5" w:themeFillTint="66"/>
            <w:noWrap/>
            <w:vAlign w:val="bottom"/>
            <w:hideMark/>
          </w:tcPr>
          <w:p w:rsidR="00E16408" w:rsidRPr="00AF6060" w:rsidRDefault="00E16408" w:rsidP="002332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AF6060">
              <w:rPr>
                <w:rFonts w:ascii="Calibri" w:eastAsia="Times New Roman" w:hAnsi="Calibri" w:cs="Times New Roman"/>
                <w:color w:val="000000"/>
              </w:rPr>
              <w:t>A</w:t>
            </w:r>
          </w:p>
        </w:tc>
        <w:tc>
          <w:tcPr>
            <w:tcW w:w="960" w:type="dxa"/>
            <w:shd w:val="clear" w:color="auto" w:fill="auto"/>
            <w:noWrap/>
            <w:vAlign w:val="bottom"/>
            <w:hideMark/>
          </w:tcPr>
          <w:p w:rsidR="00E16408" w:rsidRDefault="00E16408" w:rsidP="00233268">
            <w:pPr>
              <w:spacing w:after="0" w:line="240" w:lineRule="auto"/>
              <w:jc w:val="center"/>
              <w:rPr>
                <w:rFonts w:ascii="Calibri" w:hAnsi="Calibri"/>
                <w:color w:val="000000"/>
              </w:rPr>
            </w:pPr>
            <w:r>
              <w:rPr>
                <w:rFonts w:ascii="Calibri" w:hAnsi="Calibri"/>
                <w:color w:val="000000"/>
              </w:rPr>
              <w:t>5</w:t>
            </w:r>
          </w:p>
        </w:tc>
      </w:tr>
      <w:tr w:rsidR="00E16408" w:rsidRPr="00AF6060" w:rsidTr="00233268">
        <w:trPr>
          <w:trHeight w:val="300"/>
          <w:jc w:val="center"/>
        </w:trPr>
        <w:tc>
          <w:tcPr>
            <w:tcW w:w="2305" w:type="dxa"/>
            <w:shd w:val="clear" w:color="000000" w:fill="B6DDE8" w:themeFill="accent5" w:themeFillTint="66"/>
            <w:noWrap/>
            <w:vAlign w:val="bottom"/>
            <w:hideMark/>
          </w:tcPr>
          <w:p w:rsidR="00E16408" w:rsidRPr="00AF6060" w:rsidRDefault="00E16408" w:rsidP="002332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AF6060">
              <w:rPr>
                <w:rFonts w:ascii="Calibri" w:eastAsia="Times New Roman" w:hAnsi="Calibri" w:cs="Times New Roman"/>
                <w:color w:val="000000"/>
              </w:rPr>
              <w:t>B</w:t>
            </w:r>
          </w:p>
        </w:tc>
        <w:tc>
          <w:tcPr>
            <w:tcW w:w="960" w:type="dxa"/>
            <w:shd w:val="clear" w:color="auto" w:fill="auto"/>
            <w:noWrap/>
            <w:vAlign w:val="bottom"/>
            <w:hideMark/>
          </w:tcPr>
          <w:p w:rsidR="00E16408" w:rsidRDefault="00E16408" w:rsidP="00233268">
            <w:pPr>
              <w:spacing w:after="0" w:line="240" w:lineRule="auto"/>
              <w:jc w:val="center"/>
              <w:rPr>
                <w:rFonts w:ascii="Calibri" w:hAnsi="Calibri"/>
                <w:color w:val="000000"/>
              </w:rPr>
            </w:pPr>
            <w:r>
              <w:rPr>
                <w:rFonts w:ascii="Calibri" w:hAnsi="Calibri"/>
                <w:color w:val="000000"/>
              </w:rPr>
              <w:t>2</w:t>
            </w:r>
          </w:p>
        </w:tc>
      </w:tr>
      <w:tr w:rsidR="00E16408" w:rsidRPr="00AF6060" w:rsidTr="00233268">
        <w:trPr>
          <w:trHeight w:val="300"/>
          <w:jc w:val="center"/>
        </w:trPr>
        <w:tc>
          <w:tcPr>
            <w:tcW w:w="2305" w:type="dxa"/>
            <w:shd w:val="clear" w:color="000000" w:fill="B6DDE8" w:themeFill="accent5" w:themeFillTint="66"/>
            <w:noWrap/>
            <w:vAlign w:val="bottom"/>
            <w:hideMark/>
          </w:tcPr>
          <w:p w:rsidR="00E16408" w:rsidRPr="00AF6060" w:rsidRDefault="00E16408" w:rsidP="002332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AF6060">
              <w:rPr>
                <w:rFonts w:ascii="Calibri" w:eastAsia="Times New Roman" w:hAnsi="Calibri" w:cs="Times New Roman"/>
                <w:color w:val="000000"/>
              </w:rPr>
              <w:t>C</w:t>
            </w:r>
            <w:r>
              <w:rPr>
                <w:rFonts w:ascii="Calibri" w:eastAsia="Times New Roman" w:hAnsi="Calibri" w:cs="Times New Roman"/>
                <w:color w:val="000000"/>
              </w:rPr>
              <w:t xml:space="preserve"> </w:t>
            </w:r>
          </w:p>
        </w:tc>
        <w:tc>
          <w:tcPr>
            <w:tcW w:w="960" w:type="dxa"/>
            <w:shd w:val="clear" w:color="auto" w:fill="auto"/>
            <w:noWrap/>
            <w:vAlign w:val="bottom"/>
            <w:hideMark/>
          </w:tcPr>
          <w:p w:rsidR="00E16408" w:rsidRDefault="00E16408" w:rsidP="00233268">
            <w:pPr>
              <w:spacing w:after="0" w:line="240" w:lineRule="auto"/>
              <w:jc w:val="center"/>
              <w:rPr>
                <w:rFonts w:ascii="Calibri" w:hAnsi="Calibri"/>
                <w:color w:val="000000"/>
              </w:rPr>
            </w:pPr>
            <w:r>
              <w:rPr>
                <w:rFonts w:ascii="Calibri" w:hAnsi="Calibri"/>
                <w:color w:val="000000"/>
              </w:rPr>
              <w:t>1</w:t>
            </w:r>
            <w:r w:rsidRPr="005338D0">
              <w:rPr>
                <w:rFonts w:ascii="Calibri" w:hAnsi="Calibri"/>
                <w:color w:val="000000"/>
                <w:vertAlign w:val="superscript"/>
              </w:rPr>
              <w:t>+</w:t>
            </w:r>
          </w:p>
        </w:tc>
      </w:tr>
      <w:tr w:rsidR="00E16408" w:rsidRPr="00AF6060" w:rsidTr="00233268">
        <w:trPr>
          <w:trHeight w:val="300"/>
          <w:jc w:val="center"/>
        </w:trPr>
        <w:tc>
          <w:tcPr>
            <w:tcW w:w="2305" w:type="dxa"/>
            <w:shd w:val="clear" w:color="000000" w:fill="B6DDE8" w:themeFill="accent5" w:themeFillTint="66"/>
            <w:noWrap/>
            <w:vAlign w:val="bottom"/>
            <w:hideMark/>
          </w:tcPr>
          <w:p w:rsidR="00E16408" w:rsidRPr="00AF6060" w:rsidRDefault="00E16408" w:rsidP="00233268">
            <w:pPr>
              <w:spacing w:after="0" w:line="240" w:lineRule="auto"/>
              <w:rPr>
                <w:rFonts w:ascii="Calibri" w:eastAsia="Times New Roman" w:hAnsi="Calibri" w:cs="Times New Roman"/>
                <w:color w:val="000000"/>
              </w:rPr>
            </w:pPr>
            <w:r>
              <w:rPr>
                <w:rFonts w:ascii="Calibri" w:eastAsia="Times New Roman" w:hAnsi="Calibri" w:cs="Times New Roman"/>
                <w:color w:val="000000"/>
              </w:rPr>
              <w:t>Book</w:t>
            </w:r>
          </w:p>
        </w:tc>
        <w:tc>
          <w:tcPr>
            <w:tcW w:w="960" w:type="dxa"/>
            <w:shd w:val="clear" w:color="auto" w:fill="auto"/>
            <w:noWrap/>
            <w:vAlign w:val="bottom"/>
            <w:hideMark/>
          </w:tcPr>
          <w:p w:rsidR="00E16408" w:rsidRDefault="00E16408" w:rsidP="00233268">
            <w:pPr>
              <w:spacing w:after="0" w:line="240" w:lineRule="auto"/>
              <w:jc w:val="center"/>
              <w:rPr>
                <w:rFonts w:ascii="Calibri" w:hAnsi="Calibri"/>
                <w:color w:val="000000"/>
              </w:rPr>
            </w:pPr>
            <w:r>
              <w:rPr>
                <w:rFonts w:ascii="Calibri" w:hAnsi="Calibri"/>
                <w:color w:val="000000"/>
              </w:rPr>
              <w:t>5</w:t>
            </w:r>
          </w:p>
        </w:tc>
      </w:tr>
      <w:tr w:rsidR="00E16408" w:rsidRPr="00AF6060" w:rsidTr="00233268">
        <w:trPr>
          <w:trHeight w:val="300"/>
          <w:jc w:val="center"/>
        </w:trPr>
        <w:tc>
          <w:tcPr>
            <w:tcW w:w="2305" w:type="dxa"/>
            <w:shd w:val="clear" w:color="000000" w:fill="B6DDE8" w:themeFill="accent5" w:themeFillTint="66"/>
            <w:noWrap/>
            <w:vAlign w:val="bottom"/>
            <w:hideMark/>
          </w:tcPr>
          <w:p w:rsidR="00E16408" w:rsidRPr="00AF6060" w:rsidRDefault="00E16408" w:rsidP="00233268">
            <w:pPr>
              <w:spacing w:after="0" w:line="240" w:lineRule="auto"/>
              <w:rPr>
                <w:rFonts w:ascii="Calibri" w:eastAsia="Times New Roman" w:hAnsi="Calibri" w:cs="Times New Roman"/>
                <w:color w:val="000000"/>
              </w:rPr>
            </w:pPr>
            <w:r w:rsidRPr="00AF6060">
              <w:rPr>
                <w:rFonts w:ascii="Calibri" w:eastAsia="Times New Roman" w:hAnsi="Calibri" w:cs="Times New Roman"/>
                <w:color w:val="000000"/>
              </w:rPr>
              <w:t>E</w:t>
            </w:r>
            <w:r>
              <w:rPr>
                <w:rFonts w:ascii="Calibri" w:eastAsia="Times New Roman" w:hAnsi="Calibri" w:cs="Times New Roman"/>
                <w:color w:val="000000"/>
              </w:rPr>
              <w:t xml:space="preserve">dited </w:t>
            </w:r>
            <w:r w:rsidRPr="00AF6060">
              <w:rPr>
                <w:rFonts w:ascii="Calibri" w:eastAsia="Times New Roman" w:hAnsi="Calibri" w:cs="Times New Roman"/>
                <w:color w:val="000000"/>
              </w:rPr>
              <w:t>B</w:t>
            </w:r>
            <w:r>
              <w:rPr>
                <w:rFonts w:ascii="Calibri" w:eastAsia="Times New Roman" w:hAnsi="Calibri" w:cs="Times New Roman"/>
                <w:color w:val="000000"/>
              </w:rPr>
              <w:t>ook</w:t>
            </w:r>
          </w:p>
        </w:tc>
        <w:tc>
          <w:tcPr>
            <w:tcW w:w="960" w:type="dxa"/>
            <w:shd w:val="clear" w:color="auto" w:fill="auto"/>
            <w:noWrap/>
            <w:vAlign w:val="bottom"/>
            <w:hideMark/>
          </w:tcPr>
          <w:p w:rsidR="00E16408" w:rsidRDefault="00E16408" w:rsidP="00233268">
            <w:pPr>
              <w:spacing w:after="0" w:line="240" w:lineRule="auto"/>
              <w:jc w:val="center"/>
              <w:rPr>
                <w:rFonts w:ascii="Calibri" w:hAnsi="Calibri"/>
                <w:color w:val="000000"/>
              </w:rPr>
            </w:pPr>
            <w:r>
              <w:rPr>
                <w:rFonts w:ascii="Calibri" w:hAnsi="Calibri"/>
                <w:color w:val="000000"/>
              </w:rPr>
              <w:t>1</w:t>
            </w:r>
          </w:p>
        </w:tc>
      </w:tr>
      <w:tr w:rsidR="00E16408" w:rsidRPr="00AF6060" w:rsidTr="00233268">
        <w:trPr>
          <w:trHeight w:val="300"/>
          <w:jc w:val="center"/>
        </w:trPr>
        <w:tc>
          <w:tcPr>
            <w:tcW w:w="2305" w:type="dxa"/>
            <w:shd w:val="clear" w:color="000000" w:fill="B6DDE8" w:themeFill="accent5" w:themeFillTint="66"/>
            <w:noWrap/>
            <w:vAlign w:val="bottom"/>
            <w:hideMark/>
          </w:tcPr>
          <w:p w:rsidR="00E16408" w:rsidRPr="00AF6060" w:rsidRDefault="00E16408" w:rsidP="00233268">
            <w:pPr>
              <w:spacing w:after="0" w:line="240" w:lineRule="auto"/>
              <w:rPr>
                <w:rFonts w:ascii="Calibri" w:eastAsia="Times New Roman" w:hAnsi="Calibri" w:cs="Times New Roman"/>
                <w:color w:val="000000"/>
              </w:rPr>
            </w:pPr>
            <w:r w:rsidRPr="00AF6060">
              <w:rPr>
                <w:rFonts w:ascii="Calibri" w:eastAsia="Times New Roman" w:hAnsi="Calibri" w:cs="Times New Roman"/>
                <w:color w:val="000000"/>
              </w:rPr>
              <w:t>B</w:t>
            </w:r>
            <w:r>
              <w:rPr>
                <w:rFonts w:ascii="Calibri" w:eastAsia="Times New Roman" w:hAnsi="Calibri" w:cs="Times New Roman"/>
                <w:color w:val="000000"/>
              </w:rPr>
              <w:t xml:space="preserve">ook </w:t>
            </w:r>
            <w:r w:rsidRPr="00AF6060">
              <w:rPr>
                <w:rFonts w:ascii="Calibri" w:eastAsia="Times New Roman" w:hAnsi="Calibri" w:cs="Times New Roman"/>
                <w:color w:val="000000"/>
              </w:rPr>
              <w:t>C</w:t>
            </w:r>
            <w:r>
              <w:rPr>
                <w:rFonts w:ascii="Calibri" w:eastAsia="Times New Roman" w:hAnsi="Calibri" w:cs="Times New Roman"/>
                <w:color w:val="000000"/>
              </w:rPr>
              <w:t>hapter</w:t>
            </w:r>
          </w:p>
        </w:tc>
        <w:tc>
          <w:tcPr>
            <w:tcW w:w="960" w:type="dxa"/>
            <w:shd w:val="clear" w:color="auto" w:fill="auto"/>
            <w:noWrap/>
            <w:vAlign w:val="bottom"/>
            <w:hideMark/>
          </w:tcPr>
          <w:p w:rsidR="00E16408" w:rsidRDefault="00E16408" w:rsidP="00233268">
            <w:pPr>
              <w:spacing w:after="0" w:line="240" w:lineRule="auto"/>
              <w:jc w:val="center"/>
              <w:rPr>
                <w:rFonts w:ascii="Calibri" w:hAnsi="Calibri"/>
                <w:color w:val="000000"/>
              </w:rPr>
            </w:pPr>
            <w:r>
              <w:rPr>
                <w:rFonts w:ascii="Calibri" w:hAnsi="Calibri"/>
                <w:color w:val="000000"/>
              </w:rPr>
              <w:t>1</w:t>
            </w:r>
          </w:p>
        </w:tc>
      </w:tr>
      <w:tr w:rsidR="00E16408" w:rsidRPr="00AF6060" w:rsidTr="00233268">
        <w:trPr>
          <w:trHeight w:val="300"/>
          <w:jc w:val="center"/>
        </w:trPr>
        <w:tc>
          <w:tcPr>
            <w:tcW w:w="2305" w:type="dxa"/>
            <w:shd w:val="clear" w:color="000000" w:fill="B6DDE8" w:themeFill="accent5" w:themeFillTint="66"/>
            <w:noWrap/>
            <w:vAlign w:val="bottom"/>
            <w:hideMark/>
          </w:tcPr>
          <w:p w:rsidR="00E16408" w:rsidRPr="00AF6060" w:rsidRDefault="00E16408" w:rsidP="00233268">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AF6060">
              <w:rPr>
                <w:rFonts w:ascii="Calibri" w:eastAsia="Times New Roman" w:hAnsi="Calibri" w:cs="Times New Roman"/>
                <w:color w:val="000000"/>
              </w:rPr>
              <w:t>onf</w:t>
            </w:r>
            <w:r>
              <w:rPr>
                <w:rFonts w:ascii="Calibri" w:eastAsia="Times New Roman" w:hAnsi="Calibri" w:cs="Times New Roman"/>
                <w:color w:val="000000"/>
              </w:rPr>
              <w:t>erence paper</w:t>
            </w:r>
          </w:p>
        </w:tc>
        <w:tc>
          <w:tcPr>
            <w:tcW w:w="960" w:type="dxa"/>
            <w:shd w:val="clear" w:color="auto" w:fill="auto"/>
            <w:noWrap/>
            <w:vAlign w:val="bottom"/>
            <w:hideMark/>
          </w:tcPr>
          <w:p w:rsidR="00E16408" w:rsidRDefault="00E16408" w:rsidP="00233268">
            <w:pPr>
              <w:spacing w:after="0" w:line="240" w:lineRule="auto"/>
              <w:jc w:val="center"/>
              <w:rPr>
                <w:rFonts w:ascii="Calibri" w:hAnsi="Calibri"/>
                <w:color w:val="000000"/>
              </w:rPr>
            </w:pPr>
            <w:r>
              <w:rPr>
                <w:rFonts w:ascii="Calibri" w:hAnsi="Calibri"/>
                <w:color w:val="000000"/>
              </w:rPr>
              <w:t>0</w:t>
            </w:r>
          </w:p>
        </w:tc>
      </w:tr>
      <w:tr w:rsidR="00E16408" w:rsidRPr="00AF6060" w:rsidTr="00233268">
        <w:trPr>
          <w:trHeight w:val="300"/>
          <w:jc w:val="center"/>
        </w:trPr>
        <w:tc>
          <w:tcPr>
            <w:tcW w:w="2305" w:type="dxa"/>
            <w:shd w:val="clear" w:color="000000" w:fill="B6DDE8" w:themeFill="accent5" w:themeFillTint="66"/>
            <w:noWrap/>
            <w:vAlign w:val="bottom"/>
            <w:hideMark/>
          </w:tcPr>
          <w:p w:rsidR="00E16408" w:rsidRPr="00AF6060" w:rsidRDefault="00E16408" w:rsidP="00233268">
            <w:pPr>
              <w:spacing w:after="0" w:line="240" w:lineRule="auto"/>
              <w:rPr>
                <w:rFonts w:ascii="Calibri" w:eastAsia="Times New Roman" w:hAnsi="Calibri" w:cs="Times New Roman"/>
                <w:color w:val="000000"/>
              </w:rPr>
            </w:pPr>
            <w:r w:rsidRPr="00AF6060">
              <w:rPr>
                <w:rFonts w:ascii="Calibri" w:eastAsia="Times New Roman" w:hAnsi="Calibri" w:cs="Times New Roman"/>
                <w:color w:val="000000"/>
              </w:rPr>
              <w:t>U</w:t>
            </w:r>
            <w:r>
              <w:rPr>
                <w:rFonts w:ascii="Calibri" w:eastAsia="Times New Roman" w:hAnsi="Calibri" w:cs="Times New Roman"/>
                <w:color w:val="000000"/>
              </w:rPr>
              <w:t>nranked paper</w:t>
            </w:r>
          </w:p>
        </w:tc>
        <w:tc>
          <w:tcPr>
            <w:tcW w:w="960" w:type="dxa"/>
            <w:shd w:val="clear" w:color="auto" w:fill="auto"/>
            <w:noWrap/>
            <w:vAlign w:val="bottom"/>
            <w:hideMark/>
          </w:tcPr>
          <w:p w:rsidR="00E16408" w:rsidRDefault="00E16408" w:rsidP="00233268">
            <w:pPr>
              <w:spacing w:after="0" w:line="240" w:lineRule="auto"/>
              <w:jc w:val="center"/>
              <w:rPr>
                <w:rFonts w:ascii="Calibri" w:hAnsi="Calibri"/>
                <w:color w:val="000000"/>
              </w:rPr>
            </w:pPr>
            <w:r>
              <w:rPr>
                <w:rFonts w:ascii="Calibri" w:hAnsi="Calibri"/>
                <w:color w:val="000000"/>
              </w:rPr>
              <w:t>0</w:t>
            </w:r>
          </w:p>
        </w:tc>
      </w:tr>
    </w:tbl>
    <w:p w:rsidR="00E16408" w:rsidRDefault="00E16408" w:rsidP="00E16408">
      <w:pPr>
        <w:jc w:val="center"/>
      </w:pPr>
      <w:r w:rsidRPr="005338D0">
        <w:rPr>
          <w:vertAlign w:val="superscript"/>
        </w:rPr>
        <w:t>+</w:t>
      </w:r>
      <w:r>
        <w:t xml:space="preserve"> Note: Level E staff do not receive credit for C journal papers.</w:t>
      </w:r>
    </w:p>
    <w:p w:rsidR="00E16408" w:rsidRDefault="00E16408" w:rsidP="00E16408">
      <w:pPr>
        <w:jc w:val="center"/>
      </w:pPr>
      <w:r>
        <w:rPr>
          <w:sz w:val="20"/>
          <w:szCs w:val="20"/>
        </w:rPr>
        <w:t xml:space="preserve"> </w:t>
      </w:r>
    </w:p>
    <w:p w:rsidR="00E16408" w:rsidRDefault="00E16408" w:rsidP="00E16408">
      <w:r>
        <w:t>The total points assigned to a staff member are given by their research outputs over the last three years. These points are converted to EFTSL allowances according to academic level as explained below.</w:t>
      </w:r>
    </w:p>
    <w:p w:rsidR="00E16408" w:rsidRDefault="00E16408" w:rsidP="00E16408">
      <w:pPr>
        <w:pStyle w:val="Heading1"/>
      </w:pPr>
      <w:r>
        <w:lastRenderedPageBreak/>
        <w:t>The research workload formula</w:t>
      </w:r>
    </w:p>
    <w:p w:rsidR="00E16408" w:rsidRDefault="00E16408" w:rsidP="00E16408">
      <w:r>
        <w:t>The formula used to calculate EFTSL allowances is:</w:t>
      </w:r>
    </w:p>
    <w:p w:rsidR="00E16408" w:rsidRDefault="00E16408" w:rsidP="00E16408">
      <w:pPr>
        <w:jc w:val="center"/>
      </w:pPr>
      <w:r w:rsidRPr="009D31FA">
        <w:rPr>
          <w:position w:val="-32"/>
        </w:rPr>
        <w:object w:dxaOrig="22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8.4pt" o:ole="">
            <v:imagedata r:id="rId9" o:title=""/>
          </v:shape>
          <o:OLEObject Type="Embed" ProgID="Equation.3" ShapeID="_x0000_i1025" DrawAspect="Content" ObjectID="_1519474225" r:id="rId10"/>
        </w:object>
      </w:r>
    </w:p>
    <w:p w:rsidR="00E16408" w:rsidRDefault="00E16408" w:rsidP="00E16408">
      <w:r>
        <w:t>Where:</w:t>
      </w:r>
    </w:p>
    <w:p w:rsidR="00E16408" w:rsidRDefault="00E16408" w:rsidP="00E16408">
      <w:pPr>
        <w:pStyle w:val="ListParagraph"/>
        <w:numPr>
          <w:ilvl w:val="0"/>
          <w:numId w:val="2"/>
        </w:numPr>
        <w:spacing w:after="160" w:line="252" w:lineRule="auto"/>
      </w:pPr>
      <w:r w:rsidRPr="00B17346">
        <w:rPr>
          <w:i/>
        </w:rPr>
        <w:t>A</w:t>
      </w:r>
      <w:r w:rsidRPr="00B17346">
        <w:rPr>
          <w:i/>
          <w:vertAlign w:val="subscript"/>
        </w:rPr>
        <w:t>i</w:t>
      </w:r>
      <w:r>
        <w:t xml:space="preserve"> is the EFTSL allowance for staff member </w:t>
      </w:r>
      <w:r w:rsidRPr="00B17346">
        <w:rPr>
          <w:i/>
        </w:rPr>
        <w:t>i</w:t>
      </w:r>
      <w:r>
        <w:t xml:space="preserve">. </w:t>
      </w:r>
    </w:p>
    <w:p w:rsidR="00E16408" w:rsidRDefault="00E16408" w:rsidP="00E16408">
      <w:pPr>
        <w:pStyle w:val="ListParagraph"/>
        <w:numPr>
          <w:ilvl w:val="0"/>
          <w:numId w:val="2"/>
        </w:numPr>
        <w:spacing w:after="160" w:line="252" w:lineRule="auto"/>
      </w:pPr>
      <w:r w:rsidRPr="00B17346">
        <w:rPr>
          <w:i/>
        </w:rPr>
        <w:t>P</w:t>
      </w:r>
      <w:r w:rsidRPr="00B17346">
        <w:rPr>
          <w:i/>
          <w:vertAlign w:val="subscript"/>
        </w:rPr>
        <w:t>i</w:t>
      </w:r>
      <w:r>
        <w:t xml:space="preserve"> is the number of research points obtained by the staff member</w:t>
      </w:r>
    </w:p>
    <w:p w:rsidR="00E16408" w:rsidRDefault="00E16408" w:rsidP="00E16408">
      <w:pPr>
        <w:pStyle w:val="ListParagraph"/>
        <w:numPr>
          <w:ilvl w:val="0"/>
          <w:numId w:val="2"/>
        </w:numPr>
        <w:spacing w:after="160" w:line="252" w:lineRule="auto"/>
      </w:pPr>
      <w:r w:rsidRPr="00B17346">
        <w:rPr>
          <w:i/>
        </w:rPr>
        <w:t>H</w:t>
      </w:r>
      <w:r w:rsidRPr="00B17346">
        <w:rPr>
          <w:i/>
          <w:vertAlign w:val="subscript"/>
        </w:rPr>
        <w:t>i</w:t>
      </w:r>
      <w:r>
        <w:t xml:space="preserve"> is number of points at which </w:t>
      </w:r>
      <w:r w:rsidRPr="00B17346">
        <w:rPr>
          <w:i/>
        </w:rPr>
        <w:t>i</w:t>
      </w:r>
      <w:r>
        <w:t xml:space="preserve"> receives the maximum allowance depending on academic level (see Table 2).</w:t>
      </w:r>
    </w:p>
    <w:p w:rsidR="00E16408" w:rsidRPr="00B17346" w:rsidRDefault="00E16408" w:rsidP="00E16408">
      <w:pPr>
        <w:pStyle w:val="ListParagraph"/>
        <w:numPr>
          <w:ilvl w:val="0"/>
          <w:numId w:val="2"/>
        </w:numPr>
        <w:spacing w:after="160" w:line="252" w:lineRule="auto"/>
      </w:pPr>
      <w:r>
        <w:rPr>
          <w:i/>
        </w:rPr>
        <w:t>A</w:t>
      </w:r>
      <w:r w:rsidRPr="00B17346">
        <w:rPr>
          <w:i/>
          <w:vertAlign w:val="subscript"/>
        </w:rPr>
        <w:t>max</w:t>
      </w:r>
      <w:r>
        <w:rPr>
          <w:i/>
        </w:rPr>
        <w:t xml:space="preserve"> </w:t>
      </w:r>
      <w:r w:rsidRPr="00B17346">
        <w:t>is the max</w:t>
      </w:r>
      <w:r>
        <w:t>imum EFTSL allowance given for research activity, 8 EFTSL under the current scheme.</w:t>
      </w:r>
    </w:p>
    <w:p w:rsidR="00E16408" w:rsidRDefault="00E16408" w:rsidP="00E16408">
      <w:r>
        <w:t xml:space="preserve">This formula results in a linear increase in the allowance received as the number of research points increases, but it is truncated at the maximum allowance </w:t>
      </w:r>
      <w:r w:rsidRPr="00B17346">
        <w:rPr>
          <w:i/>
        </w:rPr>
        <w:t>A</w:t>
      </w:r>
      <w:r w:rsidRPr="00B17346">
        <w:rPr>
          <w:i/>
          <w:vertAlign w:val="subscript"/>
        </w:rPr>
        <w:t>max</w:t>
      </w:r>
      <w:r>
        <w:t xml:space="preserve"> = 8. The number of research points required to receive the maximum allowance (</w:t>
      </w:r>
      <w:r w:rsidRPr="00B918FA">
        <w:rPr>
          <w:i/>
        </w:rPr>
        <w:t>H</w:t>
      </w:r>
      <w:r>
        <w:t xml:space="preserve">) is currently set at 25 for a level E. This could be achieved by producing five A journal papers over three years or other combinations, such as 2.5 A* papers or 12.5 C papers (see Table 1).   </w:t>
      </w:r>
    </w:p>
    <w:p w:rsidR="00E16408" w:rsidRDefault="00E16408" w:rsidP="00E16408">
      <w:pPr>
        <w:jc w:val="both"/>
      </w:pPr>
      <w:r>
        <w:t>The maximum allowance received by a staff member (</w:t>
      </w:r>
      <w:r w:rsidRPr="00B918FA">
        <w:rPr>
          <w:i/>
        </w:rPr>
        <w:t>H</w:t>
      </w:r>
      <w:r w:rsidRPr="00B918FA">
        <w:rPr>
          <w:i/>
          <w:vertAlign w:val="subscript"/>
        </w:rPr>
        <w:t>i</w:t>
      </w:r>
      <w:r>
        <w:t>) is adjusted relative to the benchmark of 25 according to relative salary as illustrated in Table 2.</w:t>
      </w:r>
    </w:p>
    <w:p w:rsidR="00E16408" w:rsidRDefault="00E16408" w:rsidP="00E16408">
      <w:r>
        <w:rPr>
          <w:sz w:val="20"/>
          <w:szCs w:val="20"/>
        </w:rPr>
        <w:t>Table 2.</w:t>
      </w:r>
      <w:r w:rsidRPr="008205E7">
        <w:rPr>
          <w:sz w:val="20"/>
          <w:szCs w:val="20"/>
        </w:rPr>
        <w:t xml:space="preserve"> </w:t>
      </w:r>
      <w:r>
        <w:rPr>
          <w:sz w:val="20"/>
          <w:szCs w:val="20"/>
        </w:rPr>
        <w:t>The number of research points at which staff members are considered highly productive (</w:t>
      </w:r>
      <w:r w:rsidRPr="006C5382">
        <w:rPr>
          <w:i/>
          <w:sz w:val="20"/>
          <w:szCs w:val="20"/>
        </w:rPr>
        <w:t>H</w:t>
      </w:r>
      <w:r w:rsidRPr="006C5382">
        <w:rPr>
          <w:i/>
          <w:sz w:val="20"/>
          <w:szCs w:val="20"/>
          <w:vertAlign w:val="subscript"/>
        </w:rPr>
        <w:t>i</w:t>
      </w:r>
      <w:r>
        <w:rPr>
          <w:sz w:val="20"/>
          <w:szCs w:val="20"/>
        </w:rPr>
        <w:t xml:space="preserve">) based on their academic level. </w:t>
      </w:r>
      <w:r w:rsidRPr="006C5382">
        <w:rPr>
          <w:i/>
          <w:sz w:val="20"/>
          <w:szCs w:val="20"/>
        </w:rPr>
        <w:t>H</w:t>
      </w:r>
      <w:r w:rsidRPr="006C5382">
        <w:rPr>
          <w:i/>
          <w:sz w:val="20"/>
          <w:szCs w:val="20"/>
          <w:vertAlign w:val="subscript"/>
        </w:rPr>
        <w:t>i</w:t>
      </w:r>
      <w:r>
        <w:rPr>
          <w:sz w:val="20"/>
          <w:szCs w:val="20"/>
        </w:rPr>
        <w:t xml:space="preserve"> is calculated by multiplying the salary ratio times the maximum </w:t>
      </w:r>
      <w:r w:rsidRPr="006C5382">
        <w:rPr>
          <w:i/>
          <w:sz w:val="20"/>
          <w:szCs w:val="20"/>
        </w:rPr>
        <w:t>H</w:t>
      </w:r>
      <w:r w:rsidRPr="006C5382">
        <w:rPr>
          <w:i/>
          <w:sz w:val="20"/>
          <w:szCs w:val="20"/>
          <w:vertAlign w:val="subscript"/>
        </w:rPr>
        <w:t>i</w:t>
      </w:r>
      <w:r>
        <w:rPr>
          <w:sz w:val="20"/>
          <w:szCs w:val="20"/>
        </w:rPr>
        <w:t xml:space="preserve"> value (25). </w:t>
      </w:r>
    </w:p>
    <w:tbl>
      <w:tblPr>
        <w:tblW w:w="4116" w:type="dxa"/>
        <w:jc w:val="center"/>
        <w:tblInd w:w="93" w:type="dxa"/>
        <w:tblLook w:val="04A0" w:firstRow="1" w:lastRow="0" w:firstColumn="1" w:lastColumn="0" w:noHBand="0" w:noVBand="1"/>
      </w:tblPr>
      <w:tblGrid>
        <w:gridCol w:w="1166"/>
        <w:gridCol w:w="1030"/>
        <w:gridCol w:w="960"/>
        <w:gridCol w:w="960"/>
      </w:tblGrid>
      <w:tr w:rsidR="00E16408" w:rsidRPr="004C2AB3" w:rsidTr="00233268">
        <w:trPr>
          <w:trHeight w:val="300"/>
          <w:jc w:val="center"/>
        </w:trPr>
        <w:tc>
          <w:tcPr>
            <w:tcW w:w="1166" w:type="dxa"/>
            <w:tcBorders>
              <w:top w:val="single" w:sz="4" w:space="0" w:color="auto"/>
              <w:left w:val="nil"/>
              <w:bottom w:val="single" w:sz="4" w:space="0" w:color="auto"/>
              <w:right w:val="nil"/>
            </w:tcBorders>
            <w:shd w:val="clear" w:color="auto" w:fill="B6DDE8" w:themeFill="accent5" w:themeFillTint="66"/>
            <w:noWrap/>
            <w:vAlign w:val="bottom"/>
            <w:hideMark/>
          </w:tcPr>
          <w:p w:rsidR="00E16408" w:rsidRPr="004C2AB3" w:rsidRDefault="00E16408" w:rsidP="00233268">
            <w:pPr>
              <w:spacing w:after="0" w:line="240" w:lineRule="auto"/>
              <w:rPr>
                <w:rFonts w:ascii="Calibri" w:eastAsia="Times New Roman" w:hAnsi="Calibri" w:cs="Times New Roman"/>
                <w:color w:val="000000"/>
              </w:rPr>
            </w:pPr>
            <w:r>
              <w:rPr>
                <w:rFonts w:ascii="Calibri" w:eastAsia="Times New Roman" w:hAnsi="Calibri" w:cs="Times New Roman"/>
                <w:color w:val="000000"/>
              </w:rPr>
              <w:t>Academic level</w:t>
            </w:r>
          </w:p>
        </w:tc>
        <w:tc>
          <w:tcPr>
            <w:tcW w:w="1030" w:type="dxa"/>
            <w:tcBorders>
              <w:top w:val="single" w:sz="4" w:space="0" w:color="auto"/>
              <w:left w:val="nil"/>
              <w:bottom w:val="single" w:sz="4" w:space="0" w:color="auto"/>
              <w:right w:val="nil"/>
            </w:tcBorders>
            <w:shd w:val="clear" w:color="auto" w:fill="B6DDE8" w:themeFill="accent5" w:themeFillTint="66"/>
            <w:noWrap/>
            <w:vAlign w:val="bottom"/>
            <w:hideMark/>
          </w:tcPr>
          <w:p w:rsidR="00E16408" w:rsidRDefault="00E16408" w:rsidP="00233268">
            <w:pPr>
              <w:spacing w:after="0" w:line="240" w:lineRule="auto"/>
              <w:rPr>
                <w:rFonts w:ascii="Calibri" w:eastAsia="Times New Roman" w:hAnsi="Calibri" w:cs="Times New Roman"/>
                <w:color w:val="000000"/>
              </w:rPr>
            </w:pPr>
            <w:r w:rsidRPr="004C2AB3">
              <w:rPr>
                <w:rFonts w:ascii="Calibri" w:eastAsia="Times New Roman" w:hAnsi="Calibri" w:cs="Times New Roman"/>
                <w:color w:val="000000"/>
              </w:rPr>
              <w:t>Salary</w:t>
            </w:r>
          </w:p>
          <w:p w:rsidR="00E16408" w:rsidRPr="004C2AB3" w:rsidRDefault="00E16408" w:rsidP="00233268">
            <w:pPr>
              <w:spacing w:after="0" w:line="240" w:lineRule="auto"/>
              <w:rPr>
                <w:rFonts w:ascii="Calibri" w:eastAsia="Times New Roman" w:hAnsi="Calibri" w:cs="Times New Roman"/>
                <w:color w:val="000000"/>
              </w:rPr>
            </w:pPr>
            <w:r>
              <w:rPr>
                <w:rFonts w:ascii="Calibri" w:eastAsia="Times New Roman" w:hAnsi="Calibri" w:cs="Times New Roman"/>
                <w:color w:val="000000"/>
              </w:rPr>
              <w:t>($1,000)</w:t>
            </w:r>
          </w:p>
        </w:tc>
        <w:tc>
          <w:tcPr>
            <w:tcW w:w="960" w:type="dxa"/>
            <w:tcBorders>
              <w:top w:val="single" w:sz="4" w:space="0" w:color="auto"/>
              <w:left w:val="nil"/>
              <w:bottom w:val="single" w:sz="4" w:space="0" w:color="auto"/>
              <w:right w:val="nil"/>
            </w:tcBorders>
            <w:shd w:val="clear" w:color="auto" w:fill="B6DDE8" w:themeFill="accent5" w:themeFillTint="66"/>
            <w:noWrap/>
            <w:vAlign w:val="bottom"/>
            <w:hideMark/>
          </w:tcPr>
          <w:p w:rsidR="00E16408" w:rsidRPr="004C2AB3" w:rsidRDefault="00E16408" w:rsidP="00233268">
            <w:pPr>
              <w:spacing w:after="0" w:line="240" w:lineRule="auto"/>
              <w:rPr>
                <w:rFonts w:ascii="Calibri" w:eastAsia="Times New Roman" w:hAnsi="Calibri" w:cs="Times New Roman"/>
                <w:color w:val="000000"/>
              </w:rPr>
            </w:pPr>
            <w:r w:rsidRPr="004C2AB3">
              <w:rPr>
                <w:rFonts w:ascii="Calibri" w:eastAsia="Times New Roman" w:hAnsi="Calibri" w:cs="Times New Roman"/>
                <w:color w:val="000000"/>
              </w:rPr>
              <w:t>Salary ratio</w:t>
            </w:r>
          </w:p>
        </w:tc>
        <w:tc>
          <w:tcPr>
            <w:tcW w:w="960" w:type="dxa"/>
            <w:tcBorders>
              <w:top w:val="single" w:sz="4" w:space="0" w:color="auto"/>
              <w:left w:val="nil"/>
              <w:bottom w:val="single" w:sz="4" w:space="0" w:color="auto"/>
              <w:right w:val="nil"/>
            </w:tcBorders>
            <w:shd w:val="clear" w:color="auto" w:fill="B6DDE8" w:themeFill="accent5" w:themeFillTint="66"/>
            <w:noWrap/>
            <w:vAlign w:val="bottom"/>
            <w:hideMark/>
          </w:tcPr>
          <w:p w:rsidR="00E16408" w:rsidRPr="006C5382" w:rsidRDefault="00E16408" w:rsidP="00233268">
            <w:pPr>
              <w:spacing w:after="0" w:line="240" w:lineRule="auto"/>
              <w:jc w:val="center"/>
              <w:rPr>
                <w:rFonts w:eastAsia="Times New Roman" w:cs="Times New Roman"/>
                <w:i/>
                <w:color w:val="000000"/>
              </w:rPr>
            </w:pPr>
            <w:r w:rsidRPr="006C5382">
              <w:rPr>
                <w:rFonts w:eastAsia="Times New Roman" w:cs="Times New Roman"/>
                <w:i/>
                <w:color w:val="000000"/>
              </w:rPr>
              <w:t>H</w:t>
            </w:r>
            <w:r>
              <w:rPr>
                <w:rFonts w:eastAsia="Times New Roman" w:cs="Times New Roman"/>
                <w:i/>
                <w:color w:val="000000"/>
                <w:vertAlign w:val="subscript"/>
              </w:rPr>
              <w:t>i</w:t>
            </w:r>
          </w:p>
        </w:tc>
      </w:tr>
      <w:tr w:rsidR="00E16408" w:rsidRPr="004C2AB3" w:rsidTr="00233268">
        <w:trPr>
          <w:trHeight w:val="300"/>
          <w:jc w:val="center"/>
        </w:trPr>
        <w:tc>
          <w:tcPr>
            <w:tcW w:w="1166" w:type="dxa"/>
            <w:tcBorders>
              <w:top w:val="single" w:sz="4" w:space="0" w:color="auto"/>
              <w:left w:val="nil"/>
              <w:bottom w:val="nil"/>
              <w:right w:val="nil"/>
            </w:tcBorders>
            <w:shd w:val="clear" w:color="auto" w:fill="auto"/>
            <w:noWrap/>
            <w:vAlign w:val="bottom"/>
            <w:hideMark/>
          </w:tcPr>
          <w:p w:rsidR="00E16408" w:rsidRPr="004C2AB3" w:rsidRDefault="00E16408" w:rsidP="00233268">
            <w:pPr>
              <w:spacing w:after="0" w:line="240" w:lineRule="auto"/>
              <w:rPr>
                <w:rFonts w:ascii="Calibri" w:eastAsia="Times New Roman" w:hAnsi="Calibri" w:cs="Times New Roman"/>
                <w:color w:val="000000"/>
              </w:rPr>
            </w:pPr>
            <w:r w:rsidRPr="004C2AB3">
              <w:rPr>
                <w:rFonts w:ascii="Calibri" w:eastAsia="Times New Roman" w:hAnsi="Calibri" w:cs="Times New Roman"/>
                <w:color w:val="000000"/>
              </w:rPr>
              <w:t>B</w:t>
            </w:r>
          </w:p>
        </w:tc>
        <w:tc>
          <w:tcPr>
            <w:tcW w:w="1030" w:type="dxa"/>
            <w:tcBorders>
              <w:top w:val="single" w:sz="4" w:space="0" w:color="auto"/>
              <w:left w:val="nil"/>
              <w:bottom w:val="nil"/>
              <w:right w:val="nil"/>
            </w:tcBorders>
            <w:shd w:val="clear" w:color="auto" w:fill="auto"/>
            <w:noWrap/>
            <w:vAlign w:val="bottom"/>
            <w:hideMark/>
          </w:tcPr>
          <w:p w:rsidR="00E16408" w:rsidRPr="004C2AB3" w:rsidRDefault="00E16408" w:rsidP="00233268">
            <w:pPr>
              <w:tabs>
                <w:tab w:val="decimal" w:pos="99"/>
                <w:tab w:val="decimal" w:pos="487"/>
              </w:tabs>
              <w:spacing w:after="0" w:line="240" w:lineRule="auto"/>
              <w:jc w:val="right"/>
              <w:rPr>
                <w:rFonts w:ascii="Calibri" w:eastAsia="Times New Roman" w:hAnsi="Calibri" w:cs="Times New Roman"/>
                <w:color w:val="000000"/>
              </w:rPr>
            </w:pPr>
            <w:r w:rsidRPr="004C2AB3">
              <w:rPr>
                <w:rFonts w:ascii="Calibri" w:eastAsia="Times New Roman" w:hAnsi="Calibri" w:cs="Times New Roman"/>
                <w:color w:val="000000"/>
              </w:rPr>
              <w:t xml:space="preserve">  93 </w:t>
            </w:r>
          </w:p>
        </w:tc>
        <w:tc>
          <w:tcPr>
            <w:tcW w:w="960" w:type="dxa"/>
            <w:tcBorders>
              <w:top w:val="single" w:sz="4" w:space="0" w:color="auto"/>
              <w:left w:val="nil"/>
              <w:bottom w:val="nil"/>
              <w:right w:val="nil"/>
            </w:tcBorders>
            <w:shd w:val="clear" w:color="auto" w:fill="auto"/>
            <w:noWrap/>
            <w:vAlign w:val="bottom"/>
            <w:hideMark/>
          </w:tcPr>
          <w:p w:rsidR="00E16408" w:rsidRPr="004C2AB3" w:rsidRDefault="00E16408" w:rsidP="00233268">
            <w:pPr>
              <w:tabs>
                <w:tab w:val="decimal" w:pos="99"/>
                <w:tab w:val="decimal" w:pos="487"/>
              </w:tabs>
              <w:spacing w:after="0" w:line="240" w:lineRule="auto"/>
              <w:jc w:val="right"/>
              <w:rPr>
                <w:rFonts w:ascii="Calibri" w:eastAsia="Times New Roman" w:hAnsi="Calibri" w:cs="Times New Roman"/>
                <w:color w:val="000000"/>
              </w:rPr>
            </w:pPr>
            <w:r w:rsidRPr="004C2AB3">
              <w:rPr>
                <w:rFonts w:ascii="Calibri" w:eastAsia="Times New Roman" w:hAnsi="Calibri" w:cs="Times New Roman"/>
                <w:color w:val="000000"/>
              </w:rPr>
              <w:t>0.58</w:t>
            </w:r>
          </w:p>
        </w:tc>
        <w:tc>
          <w:tcPr>
            <w:tcW w:w="960" w:type="dxa"/>
            <w:tcBorders>
              <w:top w:val="single" w:sz="4" w:space="0" w:color="auto"/>
              <w:left w:val="nil"/>
              <w:bottom w:val="nil"/>
              <w:right w:val="nil"/>
            </w:tcBorders>
            <w:shd w:val="clear" w:color="auto" w:fill="auto"/>
            <w:noWrap/>
            <w:vAlign w:val="bottom"/>
            <w:hideMark/>
          </w:tcPr>
          <w:p w:rsidR="00E16408" w:rsidRPr="00E2099C" w:rsidRDefault="00E16408" w:rsidP="00233268">
            <w:pPr>
              <w:tabs>
                <w:tab w:val="decimal" w:pos="99"/>
                <w:tab w:val="decimal" w:pos="487"/>
              </w:tabs>
              <w:spacing w:after="0" w:line="240" w:lineRule="auto"/>
              <w:jc w:val="right"/>
              <w:rPr>
                <w:rFonts w:ascii="Calibri" w:eastAsia="Times New Roman" w:hAnsi="Calibri" w:cs="Times New Roman"/>
                <w:color w:val="000000"/>
              </w:rPr>
            </w:pPr>
            <w:r w:rsidRPr="00E2099C">
              <w:rPr>
                <w:rFonts w:ascii="Calibri" w:eastAsia="Times New Roman" w:hAnsi="Calibri" w:cs="Times New Roman"/>
                <w:color w:val="000000"/>
              </w:rPr>
              <w:t>14.5</w:t>
            </w:r>
          </w:p>
        </w:tc>
      </w:tr>
      <w:tr w:rsidR="00E16408" w:rsidRPr="004C2AB3" w:rsidTr="00233268">
        <w:trPr>
          <w:trHeight w:val="300"/>
          <w:jc w:val="center"/>
        </w:trPr>
        <w:tc>
          <w:tcPr>
            <w:tcW w:w="1166" w:type="dxa"/>
            <w:tcBorders>
              <w:top w:val="nil"/>
              <w:left w:val="nil"/>
              <w:bottom w:val="nil"/>
              <w:right w:val="nil"/>
            </w:tcBorders>
            <w:shd w:val="clear" w:color="auto" w:fill="auto"/>
            <w:noWrap/>
            <w:vAlign w:val="bottom"/>
            <w:hideMark/>
          </w:tcPr>
          <w:p w:rsidR="00E16408" w:rsidRPr="004C2AB3" w:rsidRDefault="00E16408" w:rsidP="00233268">
            <w:pPr>
              <w:spacing w:after="0" w:line="240" w:lineRule="auto"/>
              <w:rPr>
                <w:rFonts w:ascii="Calibri" w:eastAsia="Times New Roman" w:hAnsi="Calibri" w:cs="Times New Roman"/>
                <w:color w:val="000000"/>
              </w:rPr>
            </w:pPr>
            <w:r w:rsidRPr="004C2AB3">
              <w:rPr>
                <w:rFonts w:ascii="Calibri" w:eastAsia="Times New Roman" w:hAnsi="Calibri" w:cs="Times New Roman"/>
                <w:color w:val="000000"/>
              </w:rPr>
              <w:t>C</w:t>
            </w:r>
          </w:p>
        </w:tc>
        <w:tc>
          <w:tcPr>
            <w:tcW w:w="1030" w:type="dxa"/>
            <w:tcBorders>
              <w:top w:val="nil"/>
              <w:left w:val="nil"/>
              <w:bottom w:val="nil"/>
              <w:right w:val="nil"/>
            </w:tcBorders>
            <w:shd w:val="clear" w:color="auto" w:fill="auto"/>
            <w:noWrap/>
            <w:vAlign w:val="bottom"/>
            <w:hideMark/>
          </w:tcPr>
          <w:p w:rsidR="00E16408" w:rsidRPr="004C2AB3" w:rsidRDefault="00E16408" w:rsidP="00233268">
            <w:pPr>
              <w:tabs>
                <w:tab w:val="decimal" w:pos="99"/>
                <w:tab w:val="decimal" w:pos="487"/>
              </w:tabs>
              <w:spacing w:after="0" w:line="240" w:lineRule="auto"/>
              <w:jc w:val="right"/>
              <w:rPr>
                <w:rFonts w:ascii="Calibri" w:eastAsia="Times New Roman" w:hAnsi="Calibri" w:cs="Times New Roman"/>
                <w:color w:val="000000"/>
              </w:rPr>
            </w:pPr>
            <w:r w:rsidRPr="004C2AB3">
              <w:rPr>
                <w:rFonts w:ascii="Calibri" w:eastAsia="Times New Roman" w:hAnsi="Calibri" w:cs="Times New Roman"/>
                <w:color w:val="000000"/>
              </w:rPr>
              <w:t xml:space="preserve"> 112 </w:t>
            </w:r>
          </w:p>
        </w:tc>
        <w:tc>
          <w:tcPr>
            <w:tcW w:w="960" w:type="dxa"/>
            <w:tcBorders>
              <w:top w:val="nil"/>
              <w:left w:val="nil"/>
              <w:bottom w:val="nil"/>
              <w:right w:val="nil"/>
            </w:tcBorders>
            <w:shd w:val="clear" w:color="auto" w:fill="auto"/>
            <w:noWrap/>
            <w:vAlign w:val="bottom"/>
            <w:hideMark/>
          </w:tcPr>
          <w:p w:rsidR="00E16408" w:rsidRPr="004C2AB3" w:rsidRDefault="00E16408" w:rsidP="00233268">
            <w:pPr>
              <w:tabs>
                <w:tab w:val="decimal" w:pos="99"/>
                <w:tab w:val="decimal" w:pos="487"/>
              </w:tabs>
              <w:spacing w:after="0" w:line="240" w:lineRule="auto"/>
              <w:jc w:val="right"/>
              <w:rPr>
                <w:rFonts w:ascii="Calibri" w:eastAsia="Times New Roman" w:hAnsi="Calibri" w:cs="Times New Roman"/>
                <w:color w:val="000000"/>
              </w:rPr>
            </w:pPr>
            <w:r w:rsidRPr="004C2AB3">
              <w:rPr>
                <w:rFonts w:ascii="Calibri" w:eastAsia="Times New Roman" w:hAnsi="Calibri" w:cs="Times New Roman"/>
                <w:color w:val="000000"/>
              </w:rPr>
              <w:t>0.70</w:t>
            </w:r>
          </w:p>
        </w:tc>
        <w:tc>
          <w:tcPr>
            <w:tcW w:w="960" w:type="dxa"/>
            <w:tcBorders>
              <w:top w:val="nil"/>
              <w:left w:val="nil"/>
              <w:bottom w:val="nil"/>
              <w:right w:val="nil"/>
            </w:tcBorders>
            <w:shd w:val="clear" w:color="auto" w:fill="auto"/>
            <w:noWrap/>
            <w:vAlign w:val="bottom"/>
            <w:hideMark/>
          </w:tcPr>
          <w:p w:rsidR="00E16408" w:rsidRPr="00E2099C" w:rsidRDefault="00E16408" w:rsidP="00233268">
            <w:pPr>
              <w:tabs>
                <w:tab w:val="decimal" w:pos="99"/>
                <w:tab w:val="decimal" w:pos="487"/>
              </w:tabs>
              <w:spacing w:after="0" w:line="240" w:lineRule="auto"/>
              <w:jc w:val="right"/>
              <w:rPr>
                <w:rFonts w:ascii="Calibri" w:eastAsia="Times New Roman" w:hAnsi="Calibri" w:cs="Times New Roman"/>
                <w:color w:val="000000"/>
              </w:rPr>
            </w:pPr>
            <w:r w:rsidRPr="00E2099C">
              <w:rPr>
                <w:rFonts w:ascii="Calibri" w:eastAsia="Times New Roman" w:hAnsi="Calibri" w:cs="Times New Roman"/>
                <w:color w:val="000000"/>
              </w:rPr>
              <w:t>17.4</w:t>
            </w:r>
          </w:p>
        </w:tc>
      </w:tr>
      <w:tr w:rsidR="00E16408" w:rsidRPr="004C2AB3" w:rsidTr="00233268">
        <w:trPr>
          <w:trHeight w:val="300"/>
          <w:jc w:val="center"/>
        </w:trPr>
        <w:tc>
          <w:tcPr>
            <w:tcW w:w="1166" w:type="dxa"/>
            <w:tcBorders>
              <w:top w:val="nil"/>
              <w:left w:val="nil"/>
              <w:right w:val="nil"/>
            </w:tcBorders>
            <w:shd w:val="clear" w:color="auto" w:fill="auto"/>
            <w:noWrap/>
            <w:vAlign w:val="bottom"/>
            <w:hideMark/>
          </w:tcPr>
          <w:p w:rsidR="00E16408" w:rsidRPr="004C2AB3" w:rsidRDefault="00E16408" w:rsidP="00233268">
            <w:pPr>
              <w:spacing w:after="0" w:line="240" w:lineRule="auto"/>
              <w:rPr>
                <w:rFonts w:ascii="Calibri" w:eastAsia="Times New Roman" w:hAnsi="Calibri" w:cs="Times New Roman"/>
                <w:color w:val="000000"/>
              </w:rPr>
            </w:pPr>
            <w:r w:rsidRPr="004C2AB3">
              <w:rPr>
                <w:rFonts w:ascii="Calibri" w:eastAsia="Times New Roman" w:hAnsi="Calibri" w:cs="Times New Roman"/>
                <w:color w:val="000000"/>
              </w:rPr>
              <w:t>D</w:t>
            </w:r>
          </w:p>
        </w:tc>
        <w:tc>
          <w:tcPr>
            <w:tcW w:w="1030" w:type="dxa"/>
            <w:tcBorders>
              <w:top w:val="nil"/>
              <w:left w:val="nil"/>
              <w:right w:val="nil"/>
            </w:tcBorders>
            <w:shd w:val="clear" w:color="auto" w:fill="auto"/>
            <w:noWrap/>
            <w:vAlign w:val="bottom"/>
            <w:hideMark/>
          </w:tcPr>
          <w:p w:rsidR="00E16408" w:rsidRPr="004C2AB3" w:rsidRDefault="00E16408" w:rsidP="00233268">
            <w:pPr>
              <w:tabs>
                <w:tab w:val="decimal" w:pos="99"/>
                <w:tab w:val="decimal" w:pos="487"/>
              </w:tabs>
              <w:spacing w:after="0" w:line="240" w:lineRule="auto"/>
              <w:jc w:val="right"/>
              <w:rPr>
                <w:rFonts w:ascii="Calibri" w:eastAsia="Times New Roman" w:hAnsi="Calibri" w:cs="Times New Roman"/>
                <w:color w:val="000000"/>
              </w:rPr>
            </w:pPr>
            <w:r w:rsidRPr="004C2AB3">
              <w:rPr>
                <w:rFonts w:ascii="Calibri" w:eastAsia="Times New Roman" w:hAnsi="Calibri" w:cs="Times New Roman"/>
                <w:color w:val="000000"/>
              </w:rPr>
              <w:t xml:space="preserve">  132 </w:t>
            </w:r>
          </w:p>
        </w:tc>
        <w:tc>
          <w:tcPr>
            <w:tcW w:w="960" w:type="dxa"/>
            <w:tcBorders>
              <w:top w:val="nil"/>
              <w:left w:val="nil"/>
              <w:right w:val="nil"/>
            </w:tcBorders>
            <w:shd w:val="clear" w:color="auto" w:fill="auto"/>
            <w:noWrap/>
            <w:vAlign w:val="bottom"/>
            <w:hideMark/>
          </w:tcPr>
          <w:p w:rsidR="00E16408" w:rsidRPr="004C2AB3" w:rsidRDefault="00E16408" w:rsidP="00233268">
            <w:pPr>
              <w:tabs>
                <w:tab w:val="decimal" w:pos="99"/>
                <w:tab w:val="decimal" w:pos="487"/>
              </w:tabs>
              <w:spacing w:after="0" w:line="240" w:lineRule="auto"/>
              <w:jc w:val="right"/>
              <w:rPr>
                <w:rFonts w:ascii="Calibri" w:eastAsia="Times New Roman" w:hAnsi="Calibri" w:cs="Times New Roman"/>
                <w:color w:val="000000"/>
              </w:rPr>
            </w:pPr>
            <w:r w:rsidRPr="004C2AB3">
              <w:rPr>
                <w:rFonts w:ascii="Calibri" w:eastAsia="Times New Roman" w:hAnsi="Calibri" w:cs="Times New Roman"/>
                <w:color w:val="000000"/>
              </w:rPr>
              <w:t>0.82</w:t>
            </w:r>
          </w:p>
        </w:tc>
        <w:tc>
          <w:tcPr>
            <w:tcW w:w="960" w:type="dxa"/>
            <w:tcBorders>
              <w:top w:val="nil"/>
              <w:left w:val="nil"/>
              <w:right w:val="nil"/>
            </w:tcBorders>
            <w:shd w:val="clear" w:color="auto" w:fill="auto"/>
            <w:noWrap/>
            <w:vAlign w:val="bottom"/>
            <w:hideMark/>
          </w:tcPr>
          <w:p w:rsidR="00E16408" w:rsidRPr="00E2099C" w:rsidRDefault="00E16408" w:rsidP="00233268">
            <w:pPr>
              <w:tabs>
                <w:tab w:val="decimal" w:pos="99"/>
                <w:tab w:val="decimal" w:pos="487"/>
              </w:tabs>
              <w:spacing w:after="0" w:line="240" w:lineRule="auto"/>
              <w:jc w:val="right"/>
              <w:rPr>
                <w:rFonts w:ascii="Calibri" w:eastAsia="Times New Roman" w:hAnsi="Calibri" w:cs="Times New Roman"/>
                <w:color w:val="000000"/>
              </w:rPr>
            </w:pPr>
            <w:r w:rsidRPr="00E2099C">
              <w:rPr>
                <w:rFonts w:ascii="Calibri" w:eastAsia="Times New Roman" w:hAnsi="Calibri" w:cs="Times New Roman"/>
                <w:color w:val="000000"/>
              </w:rPr>
              <w:t>20.4</w:t>
            </w:r>
          </w:p>
        </w:tc>
      </w:tr>
      <w:tr w:rsidR="00E16408" w:rsidRPr="004C2AB3" w:rsidTr="00233268">
        <w:trPr>
          <w:trHeight w:val="315"/>
          <w:jc w:val="center"/>
        </w:trPr>
        <w:tc>
          <w:tcPr>
            <w:tcW w:w="1166" w:type="dxa"/>
            <w:tcBorders>
              <w:top w:val="nil"/>
              <w:left w:val="nil"/>
              <w:bottom w:val="single" w:sz="4" w:space="0" w:color="auto"/>
              <w:right w:val="nil"/>
            </w:tcBorders>
            <w:shd w:val="clear" w:color="auto" w:fill="auto"/>
            <w:noWrap/>
            <w:vAlign w:val="bottom"/>
            <w:hideMark/>
          </w:tcPr>
          <w:p w:rsidR="00E16408" w:rsidRPr="004C2AB3" w:rsidRDefault="00E16408" w:rsidP="00233268">
            <w:pPr>
              <w:spacing w:after="0" w:line="240" w:lineRule="auto"/>
              <w:rPr>
                <w:rFonts w:ascii="Calibri" w:eastAsia="Times New Roman" w:hAnsi="Calibri" w:cs="Times New Roman"/>
                <w:color w:val="000000"/>
              </w:rPr>
            </w:pPr>
            <w:r w:rsidRPr="004C2AB3">
              <w:rPr>
                <w:rFonts w:ascii="Calibri" w:eastAsia="Times New Roman" w:hAnsi="Calibri" w:cs="Times New Roman"/>
                <w:color w:val="000000"/>
              </w:rPr>
              <w:t>E</w:t>
            </w:r>
          </w:p>
        </w:tc>
        <w:tc>
          <w:tcPr>
            <w:tcW w:w="1030" w:type="dxa"/>
            <w:tcBorders>
              <w:top w:val="nil"/>
              <w:left w:val="nil"/>
              <w:bottom w:val="single" w:sz="4" w:space="0" w:color="auto"/>
              <w:right w:val="nil"/>
            </w:tcBorders>
            <w:shd w:val="clear" w:color="auto" w:fill="auto"/>
            <w:noWrap/>
            <w:vAlign w:val="bottom"/>
            <w:hideMark/>
          </w:tcPr>
          <w:p w:rsidR="00E16408" w:rsidRPr="004C2AB3" w:rsidRDefault="00E16408" w:rsidP="00233268">
            <w:pPr>
              <w:tabs>
                <w:tab w:val="decimal" w:pos="99"/>
                <w:tab w:val="decimal" w:pos="487"/>
              </w:tabs>
              <w:spacing w:after="0" w:line="240" w:lineRule="auto"/>
              <w:jc w:val="right"/>
              <w:rPr>
                <w:rFonts w:ascii="Calibri" w:eastAsia="Times New Roman" w:hAnsi="Calibri" w:cs="Times New Roman"/>
                <w:color w:val="000000"/>
              </w:rPr>
            </w:pPr>
            <w:r w:rsidRPr="004C2AB3">
              <w:rPr>
                <w:rFonts w:ascii="Calibri" w:eastAsia="Times New Roman" w:hAnsi="Calibri" w:cs="Times New Roman"/>
                <w:color w:val="000000"/>
              </w:rPr>
              <w:t xml:space="preserve">  161 </w:t>
            </w:r>
          </w:p>
        </w:tc>
        <w:tc>
          <w:tcPr>
            <w:tcW w:w="960" w:type="dxa"/>
            <w:tcBorders>
              <w:top w:val="nil"/>
              <w:left w:val="nil"/>
              <w:bottom w:val="single" w:sz="4" w:space="0" w:color="auto"/>
              <w:right w:val="nil"/>
            </w:tcBorders>
            <w:shd w:val="clear" w:color="auto" w:fill="auto"/>
            <w:noWrap/>
            <w:vAlign w:val="bottom"/>
            <w:hideMark/>
          </w:tcPr>
          <w:p w:rsidR="00E16408" w:rsidRPr="004C2AB3" w:rsidRDefault="00E16408" w:rsidP="00233268">
            <w:pPr>
              <w:tabs>
                <w:tab w:val="decimal" w:pos="99"/>
                <w:tab w:val="decimal" w:pos="487"/>
              </w:tabs>
              <w:spacing w:after="0" w:line="240" w:lineRule="auto"/>
              <w:jc w:val="right"/>
              <w:rPr>
                <w:rFonts w:ascii="Calibri" w:eastAsia="Times New Roman" w:hAnsi="Calibri" w:cs="Times New Roman"/>
                <w:color w:val="000000"/>
              </w:rPr>
            </w:pPr>
            <w:r w:rsidRPr="004C2AB3">
              <w:rPr>
                <w:rFonts w:ascii="Calibri" w:eastAsia="Times New Roman" w:hAnsi="Calibri" w:cs="Times New Roman"/>
                <w:color w:val="000000"/>
              </w:rPr>
              <w:t>1.00</w:t>
            </w:r>
          </w:p>
        </w:tc>
        <w:tc>
          <w:tcPr>
            <w:tcW w:w="960" w:type="dxa"/>
            <w:tcBorders>
              <w:top w:val="nil"/>
              <w:left w:val="nil"/>
              <w:bottom w:val="single" w:sz="4" w:space="0" w:color="auto"/>
              <w:right w:val="nil"/>
            </w:tcBorders>
            <w:shd w:val="clear" w:color="auto" w:fill="auto"/>
            <w:noWrap/>
            <w:vAlign w:val="bottom"/>
            <w:hideMark/>
          </w:tcPr>
          <w:p w:rsidR="00E16408" w:rsidRPr="00E2099C" w:rsidRDefault="00E16408" w:rsidP="00233268">
            <w:pPr>
              <w:tabs>
                <w:tab w:val="decimal" w:pos="99"/>
                <w:tab w:val="decimal" w:pos="487"/>
              </w:tabs>
              <w:spacing w:after="0" w:line="240" w:lineRule="auto"/>
              <w:jc w:val="right"/>
              <w:rPr>
                <w:rFonts w:ascii="Calibri" w:eastAsia="Times New Roman" w:hAnsi="Calibri" w:cs="Times New Roman"/>
                <w:color w:val="000000"/>
              </w:rPr>
            </w:pPr>
            <w:r w:rsidRPr="00E2099C">
              <w:rPr>
                <w:rFonts w:ascii="Calibri" w:eastAsia="Times New Roman" w:hAnsi="Calibri" w:cs="Times New Roman"/>
                <w:color w:val="000000"/>
              </w:rPr>
              <w:t>25.0</w:t>
            </w:r>
          </w:p>
        </w:tc>
      </w:tr>
    </w:tbl>
    <w:p w:rsidR="00E16408" w:rsidRDefault="00E16408" w:rsidP="00E16408"/>
    <w:p w:rsidR="00E16408" w:rsidRDefault="00E16408" w:rsidP="00E16408">
      <w:pPr>
        <w:pStyle w:val="Heading1"/>
      </w:pPr>
      <w:r>
        <w:t>Applying the formula</w:t>
      </w:r>
    </w:p>
    <w:p w:rsidR="00E16408" w:rsidRDefault="00E16408" w:rsidP="00E16408">
      <w:r>
        <w:t>The actual EFTSL load is calculated by subtracting the allowance (</w:t>
      </w:r>
      <w:r w:rsidRPr="00B918FA">
        <w:rPr>
          <w:i/>
        </w:rPr>
        <w:t>A</w:t>
      </w:r>
      <w:r w:rsidRPr="00B918FA">
        <w:rPr>
          <w:i/>
          <w:vertAlign w:val="subscript"/>
        </w:rPr>
        <w:t>i</w:t>
      </w:r>
      <w:r>
        <w:t>) from the maximum load of 33. Figure 1 shows the results of applying the formula. Research-inactive staff (those with zero points) receive the full teaching load of 33 EFTSL. The workload of research-active staff decreases linearly depending on their research productivity, but the decrease is fastest for level B and slowest for level E, reflecting relative research productivity expectations.</w:t>
      </w:r>
    </w:p>
    <w:p w:rsidR="00E16408" w:rsidRDefault="00E16408" w:rsidP="00E16408">
      <w:r>
        <w:t>The formula was applied to UNEBS staff for 2013-2015 based on data extracted from the RIS worksheets. The distribution of loads is presented in Figure 2. The detailed results are presented in the Appendix. An Excel file is available to undertake these calculations.</w:t>
      </w:r>
    </w:p>
    <w:p w:rsidR="00E16408" w:rsidRDefault="00E16408" w:rsidP="00E16408">
      <w:pPr>
        <w:jc w:val="center"/>
      </w:pPr>
      <w:r w:rsidRPr="00B918FA">
        <w:rPr>
          <w:noProof/>
          <w:lang w:val="en-US" w:eastAsia="en-US"/>
        </w:rPr>
        <w:lastRenderedPageBreak/>
        <w:drawing>
          <wp:inline distT="0" distB="0" distL="0" distR="0" wp14:anchorId="7C70FA5A" wp14:editId="15413E57">
            <wp:extent cx="4059936" cy="371122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3599" cy="3714574"/>
                    </a:xfrm>
                    <a:prstGeom prst="rect">
                      <a:avLst/>
                    </a:prstGeom>
                    <a:noFill/>
                    <a:ln>
                      <a:noFill/>
                    </a:ln>
                  </pic:spPr>
                </pic:pic>
              </a:graphicData>
            </a:graphic>
          </wp:inline>
        </w:drawing>
      </w:r>
    </w:p>
    <w:p w:rsidR="00E16408" w:rsidRDefault="00E16408" w:rsidP="00E16408">
      <w:pPr>
        <w:jc w:val="center"/>
      </w:pPr>
      <w:r>
        <w:rPr>
          <w:sz w:val="20"/>
          <w:szCs w:val="20"/>
        </w:rPr>
        <w:t>Figure1.</w:t>
      </w:r>
      <w:r w:rsidRPr="008205E7">
        <w:rPr>
          <w:sz w:val="20"/>
          <w:szCs w:val="20"/>
        </w:rPr>
        <w:t xml:space="preserve"> </w:t>
      </w:r>
      <w:r>
        <w:rPr>
          <w:sz w:val="20"/>
          <w:szCs w:val="20"/>
        </w:rPr>
        <w:t>The workload assigned according to academic level and research outputs. Parameters:</w:t>
      </w:r>
    </w:p>
    <w:p w:rsidR="00E16408" w:rsidRDefault="00E16408" w:rsidP="00E16408">
      <w:pPr>
        <w:jc w:val="center"/>
      </w:pPr>
      <w:r w:rsidRPr="00E6735A">
        <w:rPr>
          <w:noProof/>
          <w:lang w:val="en-US" w:eastAsia="en-US"/>
        </w:rPr>
        <w:drawing>
          <wp:inline distT="0" distB="0" distL="0" distR="0" wp14:anchorId="3CC83949" wp14:editId="684A6CED">
            <wp:extent cx="45720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3343275"/>
                    </a:xfrm>
                    <a:prstGeom prst="rect">
                      <a:avLst/>
                    </a:prstGeom>
                    <a:noFill/>
                    <a:ln>
                      <a:noFill/>
                    </a:ln>
                  </pic:spPr>
                </pic:pic>
              </a:graphicData>
            </a:graphic>
          </wp:inline>
        </w:drawing>
      </w:r>
    </w:p>
    <w:p w:rsidR="00E16408" w:rsidRDefault="00E16408" w:rsidP="00E16408">
      <w:pPr>
        <w:jc w:val="center"/>
      </w:pPr>
      <w:r>
        <w:rPr>
          <w:sz w:val="20"/>
          <w:szCs w:val="20"/>
        </w:rPr>
        <w:t>Figure2.</w:t>
      </w:r>
      <w:r w:rsidRPr="008205E7">
        <w:rPr>
          <w:sz w:val="20"/>
          <w:szCs w:val="20"/>
        </w:rPr>
        <w:t xml:space="preserve"> </w:t>
      </w:r>
      <w:r>
        <w:rPr>
          <w:sz w:val="20"/>
          <w:szCs w:val="20"/>
        </w:rPr>
        <w:t>Frequency distribution of workloads assigned to UNEBS staff based on 2013-2015 research outputs.</w:t>
      </w:r>
    </w:p>
    <w:p w:rsidR="00E16408" w:rsidRDefault="00E16408" w:rsidP="00E16408">
      <w:pPr>
        <w:spacing w:line="259" w:lineRule="auto"/>
      </w:pPr>
      <w:r>
        <w:br w:type="page"/>
      </w:r>
    </w:p>
    <w:p w:rsidR="00662D5C" w:rsidRDefault="00662D5C"/>
    <w:p w:rsidR="00744ADE" w:rsidRDefault="00744ADE" w:rsidP="00097FF4">
      <w:r>
        <w:t xml:space="preserve">Appendix </w:t>
      </w:r>
      <w:r w:rsidR="00097FF4">
        <w:t>2</w:t>
      </w:r>
      <w:r>
        <w:t xml:space="preserve">  </w:t>
      </w:r>
      <w:r>
        <w:tab/>
      </w:r>
      <w:r w:rsidR="00097FF4">
        <w:t>F</w:t>
      </w:r>
      <w:r w:rsidR="00C740D4">
        <w:t xml:space="preserve">ormal service roles </w:t>
      </w:r>
      <w:r w:rsidR="00097FF4">
        <w:t>recognised through EFTSL allocation</w:t>
      </w:r>
    </w:p>
    <w:p w:rsidR="00066A57" w:rsidRDefault="00066A57" w:rsidP="00097FF4"/>
    <w:p w:rsidR="00066A57" w:rsidRDefault="00C736AF" w:rsidP="00097FF4">
      <w:r>
        <w:t>(To</w:t>
      </w:r>
      <w:r w:rsidR="00066A57">
        <w:t xml:space="preserve"> be completed when the UNE Business School strategic plan</w:t>
      </w:r>
      <w:r w:rsidR="00C91BC2">
        <w:t xml:space="preserve"> </w:t>
      </w:r>
      <w:r w:rsidR="00066A57">
        <w:t>is  finalised)</w:t>
      </w:r>
    </w:p>
    <w:p w:rsidR="00744ADE" w:rsidRDefault="00744ADE" w:rsidP="0061691E">
      <w:pPr>
        <w:pStyle w:val="ListParagraph"/>
      </w:pPr>
    </w:p>
    <w:tbl>
      <w:tblPr>
        <w:tblStyle w:val="TableGrid"/>
        <w:tblW w:w="0" w:type="auto"/>
        <w:tblInd w:w="720" w:type="dxa"/>
        <w:tblLook w:val="04A0" w:firstRow="1" w:lastRow="0" w:firstColumn="1" w:lastColumn="0" w:noHBand="0" w:noVBand="1"/>
      </w:tblPr>
      <w:tblGrid>
        <w:gridCol w:w="4261"/>
        <w:gridCol w:w="4261"/>
      </w:tblGrid>
      <w:tr w:rsidR="00097FF4" w:rsidRPr="00097FF4" w:rsidTr="00097FF4">
        <w:tc>
          <w:tcPr>
            <w:tcW w:w="4261" w:type="dxa"/>
          </w:tcPr>
          <w:p w:rsidR="00097FF4" w:rsidRPr="00097FF4" w:rsidRDefault="00097FF4" w:rsidP="0061691E">
            <w:pPr>
              <w:pStyle w:val="ListParagraph"/>
              <w:ind w:left="0"/>
              <w:rPr>
                <w:b/>
              </w:rPr>
            </w:pPr>
            <w:r w:rsidRPr="00097FF4">
              <w:rPr>
                <w:b/>
              </w:rPr>
              <w:t>Role</w:t>
            </w:r>
          </w:p>
        </w:tc>
        <w:tc>
          <w:tcPr>
            <w:tcW w:w="4261" w:type="dxa"/>
          </w:tcPr>
          <w:p w:rsidR="00097FF4" w:rsidRPr="00097FF4" w:rsidRDefault="00097FF4" w:rsidP="0061691E">
            <w:pPr>
              <w:pStyle w:val="ListParagraph"/>
              <w:ind w:left="0"/>
              <w:rPr>
                <w:b/>
              </w:rPr>
            </w:pPr>
            <w:r w:rsidRPr="00097FF4">
              <w:rPr>
                <w:b/>
              </w:rPr>
              <w:t>EFTSL recognition</w:t>
            </w:r>
          </w:p>
        </w:tc>
      </w:tr>
      <w:tr w:rsidR="00097FF4" w:rsidTr="00097FF4">
        <w:tc>
          <w:tcPr>
            <w:tcW w:w="4261" w:type="dxa"/>
          </w:tcPr>
          <w:p w:rsidR="00097FF4" w:rsidRPr="00B7047C" w:rsidRDefault="00097FF4" w:rsidP="00097FF4">
            <w:r w:rsidRPr="00B7047C">
              <w:t>Deputy Head</w:t>
            </w:r>
          </w:p>
        </w:tc>
        <w:tc>
          <w:tcPr>
            <w:tcW w:w="4261" w:type="dxa"/>
          </w:tcPr>
          <w:p w:rsidR="00097FF4" w:rsidRDefault="00C91BC2" w:rsidP="0061691E">
            <w:pPr>
              <w:pStyle w:val="ListParagraph"/>
              <w:ind w:left="0"/>
            </w:pPr>
            <w:r>
              <w:t>67%</w:t>
            </w:r>
          </w:p>
        </w:tc>
      </w:tr>
      <w:tr w:rsidR="00097FF4" w:rsidTr="00097FF4">
        <w:tc>
          <w:tcPr>
            <w:tcW w:w="4261" w:type="dxa"/>
          </w:tcPr>
          <w:p w:rsidR="00097FF4" w:rsidRPr="00B7047C" w:rsidRDefault="00097FF4" w:rsidP="00097FF4">
            <w:r w:rsidRPr="00B7047C">
              <w:t>Chair, Teaching and Learning Committee</w:t>
            </w:r>
          </w:p>
        </w:tc>
        <w:tc>
          <w:tcPr>
            <w:tcW w:w="4261" w:type="dxa"/>
          </w:tcPr>
          <w:p w:rsidR="00097FF4" w:rsidRDefault="00C91BC2" w:rsidP="0061691E">
            <w:pPr>
              <w:pStyle w:val="ListParagraph"/>
              <w:ind w:left="0"/>
            </w:pPr>
            <w:r>
              <w:t>50%</w:t>
            </w:r>
          </w:p>
        </w:tc>
      </w:tr>
      <w:tr w:rsidR="00097FF4" w:rsidTr="00097FF4">
        <w:tc>
          <w:tcPr>
            <w:tcW w:w="4261" w:type="dxa"/>
          </w:tcPr>
          <w:p w:rsidR="00097FF4" w:rsidRPr="00B7047C" w:rsidRDefault="00097FF4" w:rsidP="00097FF4">
            <w:r w:rsidRPr="00B7047C">
              <w:t>Chair, Research and Research Training Committee</w:t>
            </w:r>
          </w:p>
        </w:tc>
        <w:tc>
          <w:tcPr>
            <w:tcW w:w="4261" w:type="dxa"/>
          </w:tcPr>
          <w:p w:rsidR="00097FF4" w:rsidRDefault="00C91BC2" w:rsidP="0061691E">
            <w:pPr>
              <w:pStyle w:val="ListParagraph"/>
              <w:ind w:left="0"/>
            </w:pPr>
            <w:r>
              <w:t>33%</w:t>
            </w:r>
          </w:p>
        </w:tc>
      </w:tr>
      <w:tr w:rsidR="00097FF4" w:rsidTr="00097FF4">
        <w:tc>
          <w:tcPr>
            <w:tcW w:w="4261" w:type="dxa"/>
          </w:tcPr>
          <w:p w:rsidR="00097FF4" w:rsidRPr="00B7047C" w:rsidRDefault="00097FF4" w:rsidP="00097FF4">
            <w:r w:rsidRPr="00B7047C">
              <w:t>Course Coordinator</w:t>
            </w:r>
            <w:r>
              <w:t>s</w:t>
            </w:r>
            <w:r w:rsidRPr="00B7047C">
              <w:t xml:space="preserve"> for cluster of courses </w:t>
            </w:r>
          </w:p>
        </w:tc>
        <w:tc>
          <w:tcPr>
            <w:tcW w:w="4261" w:type="dxa"/>
          </w:tcPr>
          <w:p w:rsidR="00097FF4" w:rsidRDefault="00C91BC2" w:rsidP="0061691E">
            <w:pPr>
              <w:pStyle w:val="ListParagraph"/>
              <w:ind w:left="0"/>
            </w:pPr>
            <w:r>
              <w:t>9-15 EFTSL depending on size of cohort</w:t>
            </w:r>
          </w:p>
        </w:tc>
      </w:tr>
      <w:tr w:rsidR="00097FF4" w:rsidTr="00097FF4">
        <w:tc>
          <w:tcPr>
            <w:tcW w:w="4261" w:type="dxa"/>
          </w:tcPr>
          <w:p w:rsidR="00097FF4" w:rsidRPr="00B7047C" w:rsidRDefault="00097FF4" w:rsidP="00097FF4">
            <w:r>
              <w:t>Partnerships and Business Development manager</w:t>
            </w:r>
          </w:p>
        </w:tc>
        <w:tc>
          <w:tcPr>
            <w:tcW w:w="4261" w:type="dxa"/>
          </w:tcPr>
          <w:p w:rsidR="00097FF4" w:rsidRDefault="00C91BC2" w:rsidP="0061691E">
            <w:pPr>
              <w:pStyle w:val="ListParagraph"/>
              <w:ind w:left="0"/>
            </w:pPr>
            <w:r>
              <w:t>18 EFTSL</w:t>
            </w:r>
          </w:p>
        </w:tc>
      </w:tr>
    </w:tbl>
    <w:p w:rsidR="00744ADE" w:rsidRDefault="00744ADE" w:rsidP="0061691E">
      <w:pPr>
        <w:pStyle w:val="ListParagraph"/>
      </w:pPr>
    </w:p>
    <w:p w:rsidR="0061691E" w:rsidRPr="00FB48E0" w:rsidRDefault="0061691E" w:rsidP="0061691E">
      <w:pPr>
        <w:pStyle w:val="ListParagraph"/>
      </w:pPr>
    </w:p>
    <w:sectPr w:rsidR="0061691E" w:rsidRPr="00FB48E0" w:rsidSect="00CE2FE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45" w:rsidRDefault="00161045" w:rsidP="00161045">
      <w:pPr>
        <w:spacing w:after="0" w:line="240" w:lineRule="auto"/>
      </w:pPr>
      <w:r>
        <w:separator/>
      </w:r>
    </w:p>
  </w:endnote>
  <w:endnote w:type="continuationSeparator" w:id="0">
    <w:p w:rsidR="00161045" w:rsidRDefault="00161045" w:rsidP="0016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553051"/>
      <w:docPartObj>
        <w:docPartGallery w:val="Page Numbers (Bottom of Page)"/>
        <w:docPartUnique/>
      </w:docPartObj>
    </w:sdtPr>
    <w:sdtEndPr>
      <w:rPr>
        <w:noProof/>
      </w:rPr>
    </w:sdtEndPr>
    <w:sdtContent>
      <w:p w:rsidR="00097FF4" w:rsidRDefault="00097FF4">
        <w:pPr>
          <w:pStyle w:val="Footer"/>
          <w:jc w:val="center"/>
        </w:pPr>
        <w:r>
          <w:fldChar w:fldCharType="begin"/>
        </w:r>
        <w:r>
          <w:instrText xml:space="preserve"> PAGE   \* MERGEFORMAT </w:instrText>
        </w:r>
        <w:r>
          <w:fldChar w:fldCharType="separate"/>
        </w:r>
        <w:r w:rsidR="00C736AF">
          <w:rPr>
            <w:noProof/>
          </w:rPr>
          <w:t>4</w:t>
        </w:r>
        <w:r>
          <w:rPr>
            <w:noProof/>
          </w:rPr>
          <w:fldChar w:fldCharType="end"/>
        </w:r>
      </w:p>
    </w:sdtContent>
  </w:sdt>
  <w:p w:rsidR="00161045" w:rsidRDefault="00161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45" w:rsidRDefault="00161045" w:rsidP="00161045">
      <w:pPr>
        <w:spacing w:after="0" w:line="240" w:lineRule="auto"/>
      </w:pPr>
      <w:r>
        <w:separator/>
      </w:r>
    </w:p>
  </w:footnote>
  <w:footnote w:type="continuationSeparator" w:id="0">
    <w:p w:rsidR="00161045" w:rsidRDefault="00161045" w:rsidP="00161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45" w:rsidRDefault="00161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F7EC4"/>
    <w:multiLevelType w:val="hybridMultilevel"/>
    <w:tmpl w:val="A26691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70B3FF4"/>
    <w:multiLevelType w:val="hybridMultilevel"/>
    <w:tmpl w:val="76BCA632"/>
    <w:lvl w:ilvl="0" w:tplc="04090001">
      <w:start w:val="1"/>
      <w:numFmt w:val="bullet"/>
      <w:lvlText w:val=""/>
      <w:lvlJc w:val="left"/>
      <w:pPr>
        <w:ind w:left="810" w:hanging="360"/>
      </w:pPr>
      <w:rPr>
        <w:rFonts w:ascii="Symbol" w:hAnsi="Symbol" w:hint="default"/>
      </w:rPr>
    </w:lvl>
    <w:lvl w:ilvl="1" w:tplc="0C090003">
      <w:start w:val="1"/>
      <w:numFmt w:val="bullet"/>
      <w:lvlText w:val="o"/>
      <w:lvlJc w:val="left"/>
      <w:pPr>
        <w:ind w:left="1530" w:hanging="360"/>
      </w:pPr>
      <w:rPr>
        <w:rFonts w:ascii="Courier New" w:hAnsi="Courier New" w:cs="Courier New" w:hint="default"/>
      </w:rPr>
    </w:lvl>
    <w:lvl w:ilvl="2" w:tplc="0C090005">
      <w:start w:val="1"/>
      <w:numFmt w:val="bullet"/>
      <w:lvlText w:val=""/>
      <w:lvlJc w:val="left"/>
      <w:pPr>
        <w:ind w:left="2250" w:hanging="360"/>
      </w:pPr>
      <w:rPr>
        <w:rFonts w:ascii="Wingdings" w:hAnsi="Wingdings" w:hint="default"/>
      </w:rPr>
    </w:lvl>
    <w:lvl w:ilvl="3" w:tplc="0C090001">
      <w:start w:val="1"/>
      <w:numFmt w:val="bullet"/>
      <w:lvlText w:val=""/>
      <w:lvlJc w:val="left"/>
      <w:pPr>
        <w:ind w:left="2970" w:hanging="360"/>
      </w:pPr>
      <w:rPr>
        <w:rFonts w:ascii="Symbol" w:hAnsi="Symbol" w:hint="default"/>
      </w:rPr>
    </w:lvl>
    <w:lvl w:ilvl="4" w:tplc="0C090003">
      <w:start w:val="1"/>
      <w:numFmt w:val="bullet"/>
      <w:lvlText w:val="o"/>
      <w:lvlJc w:val="left"/>
      <w:pPr>
        <w:ind w:left="3690" w:hanging="360"/>
      </w:pPr>
      <w:rPr>
        <w:rFonts w:ascii="Courier New" w:hAnsi="Courier New" w:cs="Courier New" w:hint="default"/>
      </w:rPr>
    </w:lvl>
    <w:lvl w:ilvl="5" w:tplc="0C090005">
      <w:start w:val="1"/>
      <w:numFmt w:val="bullet"/>
      <w:lvlText w:val=""/>
      <w:lvlJc w:val="left"/>
      <w:pPr>
        <w:ind w:left="4410" w:hanging="360"/>
      </w:pPr>
      <w:rPr>
        <w:rFonts w:ascii="Wingdings" w:hAnsi="Wingdings" w:hint="default"/>
      </w:rPr>
    </w:lvl>
    <w:lvl w:ilvl="6" w:tplc="0C090001">
      <w:start w:val="1"/>
      <w:numFmt w:val="bullet"/>
      <w:lvlText w:val=""/>
      <w:lvlJc w:val="left"/>
      <w:pPr>
        <w:ind w:left="5130" w:hanging="360"/>
      </w:pPr>
      <w:rPr>
        <w:rFonts w:ascii="Symbol" w:hAnsi="Symbol" w:hint="default"/>
      </w:rPr>
    </w:lvl>
    <w:lvl w:ilvl="7" w:tplc="0C090003">
      <w:start w:val="1"/>
      <w:numFmt w:val="bullet"/>
      <w:lvlText w:val="o"/>
      <w:lvlJc w:val="left"/>
      <w:pPr>
        <w:ind w:left="5850" w:hanging="360"/>
      </w:pPr>
      <w:rPr>
        <w:rFonts w:ascii="Courier New" w:hAnsi="Courier New" w:cs="Courier New" w:hint="default"/>
      </w:rPr>
    </w:lvl>
    <w:lvl w:ilvl="8" w:tplc="0C090005">
      <w:start w:val="1"/>
      <w:numFmt w:val="bullet"/>
      <w:lvlText w:val=""/>
      <w:lvlJc w:val="left"/>
      <w:pPr>
        <w:ind w:left="6570" w:hanging="360"/>
      </w:pPr>
      <w:rPr>
        <w:rFonts w:ascii="Wingdings" w:hAnsi="Wingdings" w:hint="default"/>
      </w:rPr>
    </w:lvl>
  </w:abstractNum>
  <w:abstractNum w:abstractNumId="2">
    <w:nsid w:val="4ACD4FC5"/>
    <w:multiLevelType w:val="hybridMultilevel"/>
    <w:tmpl w:val="E0105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1CFD563-7766-4E68-A6E5-5DD91350B8FD}"/>
    <w:docVar w:name="dgnword-eventsink" w:val="111954976"/>
  </w:docVars>
  <w:rsids>
    <w:rsidRoot w:val="007342E9"/>
    <w:rsid w:val="00004A2A"/>
    <w:rsid w:val="00066A57"/>
    <w:rsid w:val="00097FF4"/>
    <w:rsid w:val="00161045"/>
    <w:rsid w:val="0017548C"/>
    <w:rsid w:val="0017656A"/>
    <w:rsid w:val="00203B6C"/>
    <w:rsid w:val="002F25C7"/>
    <w:rsid w:val="003253A1"/>
    <w:rsid w:val="003755DF"/>
    <w:rsid w:val="003E5C9C"/>
    <w:rsid w:val="004E27C2"/>
    <w:rsid w:val="00597432"/>
    <w:rsid w:val="005C2162"/>
    <w:rsid w:val="005E2D77"/>
    <w:rsid w:val="005E6790"/>
    <w:rsid w:val="005F3EEA"/>
    <w:rsid w:val="00604EF9"/>
    <w:rsid w:val="0061691E"/>
    <w:rsid w:val="006414E7"/>
    <w:rsid w:val="00662D5C"/>
    <w:rsid w:val="00703C29"/>
    <w:rsid w:val="007342E9"/>
    <w:rsid w:val="00744ADE"/>
    <w:rsid w:val="00744FA5"/>
    <w:rsid w:val="00810385"/>
    <w:rsid w:val="008A495E"/>
    <w:rsid w:val="009128CF"/>
    <w:rsid w:val="00921647"/>
    <w:rsid w:val="009479B9"/>
    <w:rsid w:val="009551EA"/>
    <w:rsid w:val="009773C4"/>
    <w:rsid w:val="00990580"/>
    <w:rsid w:val="009921DE"/>
    <w:rsid w:val="00B046A0"/>
    <w:rsid w:val="00B04E81"/>
    <w:rsid w:val="00B230EA"/>
    <w:rsid w:val="00B773BC"/>
    <w:rsid w:val="00C13D14"/>
    <w:rsid w:val="00C71D09"/>
    <w:rsid w:val="00C736AF"/>
    <w:rsid w:val="00C740D4"/>
    <w:rsid w:val="00C841B8"/>
    <w:rsid w:val="00C91BC2"/>
    <w:rsid w:val="00C95BF9"/>
    <w:rsid w:val="00CA5737"/>
    <w:rsid w:val="00CE2FEA"/>
    <w:rsid w:val="00D77576"/>
    <w:rsid w:val="00E16408"/>
    <w:rsid w:val="00E96491"/>
    <w:rsid w:val="00EC1E2B"/>
    <w:rsid w:val="00ED285C"/>
    <w:rsid w:val="00F10FD0"/>
    <w:rsid w:val="00F61AB2"/>
    <w:rsid w:val="00FB48E0"/>
    <w:rsid w:val="00FE5E7C"/>
    <w:rsid w:val="00FF3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6408"/>
    <w:pPr>
      <w:keepNext/>
      <w:keepLines/>
      <w:spacing w:before="480" w:after="0" w:line="252"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E16408"/>
    <w:pPr>
      <w:keepNext/>
      <w:keepLines/>
      <w:spacing w:before="200" w:after="0" w:line="252"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42E9"/>
    <w:pPr>
      <w:ind w:left="720"/>
      <w:contextualSpacing/>
    </w:pPr>
  </w:style>
  <w:style w:type="character" w:styleId="CommentReference">
    <w:name w:val="annotation reference"/>
    <w:basedOn w:val="DefaultParagraphFont"/>
    <w:uiPriority w:val="99"/>
    <w:semiHidden/>
    <w:unhideWhenUsed/>
    <w:rsid w:val="003253A1"/>
    <w:rPr>
      <w:sz w:val="16"/>
      <w:szCs w:val="16"/>
    </w:rPr>
  </w:style>
  <w:style w:type="paragraph" w:styleId="CommentText">
    <w:name w:val="annotation text"/>
    <w:basedOn w:val="Normal"/>
    <w:link w:val="CommentTextChar"/>
    <w:uiPriority w:val="99"/>
    <w:semiHidden/>
    <w:unhideWhenUsed/>
    <w:rsid w:val="003253A1"/>
    <w:pPr>
      <w:spacing w:line="240" w:lineRule="auto"/>
    </w:pPr>
    <w:rPr>
      <w:sz w:val="20"/>
      <w:szCs w:val="20"/>
    </w:rPr>
  </w:style>
  <w:style w:type="character" w:customStyle="1" w:styleId="CommentTextChar">
    <w:name w:val="Comment Text Char"/>
    <w:basedOn w:val="DefaultParagraphFont"/>
    <w:link w:val="CommentText"/>
    <w:uiPriority w:val="99"/>
    <w:semiHidden/>
    <w:rsid w:val="003253A1"/>
    <w:rPr>
      <w:sz w:val="20"/>
      <w:szCs w:val="20"/>
    </w:rPr>
  </w:style>
  <w:style w:type="paragraph" w:styleId="CommentSubject">
    <w:name w:val="annotation subject"/>
    <w:basedOn w:val="CommentText"/>
    <w:next w:val="CommentText"/>
    <w:link w:val="CommentSubjectChar"/>
    <w:uiPriority w:val="99"/>
    <w:semiHidden/>
    <w:unhideWhenUsed/>
    <w:rsid w:val="003253A1"/>
    <w:rPr>
      <w:b/>
      <w:bCs/>
    </w:rPr>
  </w:style>
  <w:style w:type="character" w:customStyle="1" w:styleId="CommentSubjectChar">
    <w:name w:val="Comment Subject Char"/>
    <w:basedOn w:val="CommentTextChar"/>
    <w:link w:val="CommentSubject"/>
    <w:uiPriority w:val="99"/>
    <w:semiHidden/>
    <w:rsid w:val="003253A1"/>
    <w:rPr>
      <w:b/>
      <w:bCs/>
      <w:sz w:val="20"/>
      <w:szCs w:val="20"/>
    </w:rPr>
  </w:style>
  <w:style w:type="paragraph" w:styleId="BalloonText">
    <w:name w:val="Balloon Text"/>
    <w:basedOn w:val="Normal"/>
    <w:link w:val="BalloonTextChar"/>
    <w:uiPriority w:val="99"/>
    <w:semiHidden/>
    <w:unhideWhenUsed/>
    <w:rsid w:val="00325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A1"/>
    <w:rPr>
      <w:rFonts w:ascii="Tahoma" w:hAnsi="Tahoma" w:cs="Tahoma"/>
      <w:sz w:val="16"/>
      <w:szCs w:val="16"/>
    </w:rPr>
  </w:style>
  <w:style w:type="character" w:styleId="Hyperlink">
    <w:name w:val="Hyperlink"/>
    <w:basedOn w:val="DefaultParagraphFont"/>
    <w:uiPriority w:val="99"/>
    <w:unhideWhenUsed/>
    <w:rsid w:val="00703C29"/>
    <w:rPr>
      <w:color w:val="0000FF" w:themeColor="hyperlink"/>
      <w:u w:val="single"/>
    </w:rPr>
  </w:style>
  <w:style w:type="paragraph" w:styleId="Header">
    <w:name w:val="header"/>
    <w:basedOn w:val="Normal"/>
    <w:link w:val="HeaderChar"/>
    <w:uiPriority w:val="99"/>
    <w:unhideWhenUsed/>
    <w:rsid w:val="00161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045"/>
  </w:style>
  <w:style w:type="paragraph" w:styleId="Footer">
    <w:name w:val="footer"/>
    <w:basedOn w:val="Normal"/>
    <w:link w:val="FooterChar"/>
    <w:uiPriority w:val="99"/>
    <w:unhideWhenUsed/>
    <w:rsid w:val="00161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045"/>
  </w:style>
  <w:style w:type="table" w:styleId="TableGrid">
    <w:name w:val="Table Grid"/>
    <w:basedOn w:val="TableNormal"/>
    <w:uiPriority w:val="59"/>
    <w:rsid w:val="00097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1640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E16408"/>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E164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E16408"/>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6408"/>
    <w:pPr>
      <w:keepNext/>
      <w:keepLines/>
      <w:spacing w:before="480" w:after="0" w:line="252"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E16408"/>
    <w:pPr>
      <w:keepNext/>
      <w:keepLines/>
      <w:spacing w:before="200" w:after="0" w:line="252"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42E9"/>
    <w:pPr>
      <w:ind w:left="720"/>
      <w:contextualSpacing/>
    </w:pPr>
  </w:style>
  <w:style w:type="character" w:styleId="CommentReference">
    <w:name w:val="annotation reference"/>
    <w:basedOn w:val="DefaultParagraphFont"/>
    <w:uiPriority w:val="99"/>
    <w:semiHidden/>
    <w:unhideWhenUsed/>
    <w:rsid w:val="003253A1"/>
    <w:rPr>
      <w:sz w:val="16"/>
      <w:szCs w:val="16"/>
    </w:rPr>
  </w:style>
  <w:style w:type="paragraph" w:styleId="CommentText">
    <w:name w:val="annotation text"/>
    <w:basedOn w:val="Normal"/>
    <w:link w:val="CommentTextChar"/>
    <w:uiPriority w:val="99"/>
    <w:semiHidden/>
    <w:unhideWhenUsed/>
    <w:rsid w:val="003253A1"/>
    <w:pPr>
      <w:spacing w:line="240" w:lineRule="auto"/>
    </w:pPr>
    <w:rPr>
      <w:sz w:val="20"/>
      <w:szCs w:val="20"/>
    </w:rPr>
  </w:style>
  <w:style w:type="character" w:customStyle="1" w:styleId="CommentTextChar">
    <w:name w:val="Comment Text Char"/>
    <w:basedOn w:val="DefaultParagraphFont"/>
    <w:link w:val="CommentText"/>
    <w:uiPriority w:val="99"/>
    <w:semiHidden/>
    <w:rsid w:val="003253A1"/>
    <w:rPr>
      <w:sz w:val="20"/>
      <w:szCs w:val="20"/>
    </w:rPr>
  </w:style>
  <w:style w:type="paragraph" w:styleId="CommentSubject">
    <w:name w:val="annotation subject"/>
    <w:basedOn w:val="CommentText"/>
    <w:next w:val="CommentText"/>
    <w:link w:val="CommentSubjectChar"/>
    <w:uiPriority w:val="99"/>
    <w:semiHidden/>
    <w:unhideWhenUsed/>
    <w:rsid w:val="003253A1"/>
    <w:rPr>
      <w:b/>
      <w:bCs/>
    </w:rPr>
  </w:style>
  <w:style w:type="character" w:customStyle="1" w:styleId="CommentSubjectChar">
    <w:name w:val="Comment Subject Char"/>
    <w:basedOn w:val="CommentTextChar"/>
    <w:link w:val="CommentSubject"/>
    <w:uiPriority w:val="99"/>
    <w:semiHidden/>
    <w:rsid w:val="003253A1"/>
    <w:rPr>
      <w:b/>
      <w:bCs/>
      <w:sz w:val="20"/>
      <w:szCs w:val="20"/>
    </w:rPr>
  </w:style>
  <w:style w:type="paragraph" w:styleId="BalloonText">
    <w:name w:val="Balloon Text"/>
    <w:basedOn w:val="Normal"/>
    <w:link w:val="BalloonTextChar"/>
    <w:uiPriority w:val="99"/>
    <w:semiHidden/>
    <w:unhideWhenUsed/>
    <w:rsid w:val="00325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A1"/>
    <w:rPr>
      <w:rFonts w:ascii="Tahoma" w:hAnsi="Tahoma" w:cs="Tahoma"/>
      <w:sz w:val="16"/>
      <w:szCs w:val="16"/>
    </w:rPr>
  </w:style>
  <w:style w:type="character" w:styleId="Hyperlink">
    <w:name w:val="Hyperlink"/>
    <w:basedOn w:val="DefaultParagraphFont"/>
    <w:uiPriority w:val="99"/>
    <w:unhideWhenUsed/>
    <w:rsid w:val="00703C29"/>
    <w:rPr>
      <w:color w:val="0000FF" w:themeColor="hyperlink"/>
      <w:u w:val="single"/>
    </w:rPr>
  </w:style>
  <w:style w:type="paragraph" w:styleId="Header">
    <w:name w:val="header"/>
    <w:basedOn w:val="Normal"/>
    <w:link w:val="HeaderChar"/>
    <w:uiPriority w:val="99"/>
    <w:unhideWhenUsed/>
    <w:rsid w:val="00161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045"/>
  </w:style>
  <w:style w:type="paragraph" w:styleId="Footer">
    <w:name w:val="footer"/>
    <w:basedOn w:val="Normal"/>
    <w:link w:val="FooterChar"/>
    <w:uiPriority w:val="99"/>
    <w:unhideWhenUsed/>
    <w:rsid w:val="00161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045"/>
  </w:style>
  <w:style w:type="table" w:styleId="TableGrid">
    <w:name w:val="Table Grid"/>
    <w:basedOn w:val="TableNormal"/>
    <w:uiPriority w:val="59"/>
    <w:rsid w:val="00097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1640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E16408"/>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E164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E16408"/>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317">
      <w:bodyDiv w:val="1"/>
      <w:marLeft w:val="0"/>
      <w:marRight w:val="0"/>
      <w:marTop w:val="0"/>
      <w:marBottom w:val="0"/>
      <w:divBdr>
        <w:top w:val="none" w:sz="0" w:space="0" w:color="auto"/>
        <w:left w:val="none" w:sz="0" w:space="0" w:color="auto"/>
        <w:bottom w:val="none" w:sz="0" w:space="0" w:color="auto"/>
        <w:right w:val="none" w:sz="0" w:space="0" w:color="auto"/>
      </w:divBdr>
    </w:div>
    <w:div w:id="179729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0A253-1051-4838-A16B-3CFE2029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1665</Words>
  <Characters>9496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c:creator>
  <cp:lastModifiedBy>Kerry Towns</cp:lastModifiedBy>
  <cp:revision>2</cp:revision>
  <cp:lastPrinted>2016-03-14T03:56:00Z</cp:lastPrinted>
  <dcterms:created xsi:type="dcterms:W3CDTF">2016-03-14T04:24:00Z</dcterms:created>
  <dcterms:modified xsi:type="dcterms:W3CDTF">2016-03-14T04:24:00Z</dcterms:modified>
</cp:coreProperties>
</file>