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43" w:rsidRPr="006B6CCB" w:rsidRDefault="00B9012F" w:rsidP="005E3143">
      <w:pPr>
        <w:pStyle w:val="Title"/>
        <w:pBdr>
          <w:bottom w:val="none" w:sz="0" w:space="0" w:color="auto"/>
        </w:pBdr>
        <w:rPr>
          <w:color w:val="70AD47" w:themeColor="accent6"/>
          <w:sz w:val="38"/>
        </w:rPr>
      </w:pPr>
      <w:r w:rsidRPr="006B6CCB">
        <w:rPr>
          <w:color w:val="70AD47" w:themeColor="accent6"/>
          <w:sz w:val="38"/>
        </w:rPr>
        <w:t xml:space="preserve">Assessment </w:t>
      </w:r>
      <w:r w:rsidR="004E06A6" w:rsidRPr="006B6CCB">
        <w:rPr>
          <w:color w:val="70AD47" w:themeColor="accent6"/>
          <w:sz w:val="38"/>
        </w:rPr>
        <w:t xml:space="preserve">and Grading </w:t>
      </w:r>
      <w:r w:rsidR="00030486">
        <w:rPr>
          <w:color w:val="70AD47" w:themeColor="accent6"/>
          <w:sz w:val="38"/>
        </w:rPr>
        <w:t xml:space="preserve">Benchmarking </w:t>
      </w:r>
      <w:r w:rsidRPr="006B6CCB">
        <w:rPr>
          <w:color w:val="70AD47" w:themeColor="accent6"/>
          <w:sz w:val="38"/>
        </w:rPr>
        <w:t xml:space="preserve">Form </w:t>
      </w:r>
    </w:p>
    <w:p w:rsidR="004E06A6" w:rsidRPr="006B6CCB" w:rsidRDefault="004E06A6" w:rsidP="005E3143">
      <w:pPr>
        <w:pStyle w:val="Title"/>
        <w:pBdr>
          <w:bottom w:val="none" w:sz="0" w:space="0" w:color="auto"/>
        </w:pBdr>
        <w:rPr>
          <w:color w:val="70AD47" w:themeColor="accent6"/>
          <w:sz w:val="38"/>
        </w:rPr>
      </w:pPr>
      <w:r w:rsidRPr="006B6CCB">
        <w:rPr>
          <w:color w:val="70AD47" w:themeColor="accent6"/>
          <w:sz w:val="38"/>
        </w:rPr>
        <w:t>[Unit</w:t>
      </w:r>
      <w:r w:rsidR="004C04AB">
        <w:rPr>
          <w:color w:val="70AD47" w:themeColor="accent6"/>
          <w:sz w:val="38"/>
        </w:rPr>
        <w:t xml:space="preserve"> Code and</w:t>
      </w:r>
      <w:r w:rsidRPr="006B6CCB">
        <w:rPr>
          <w:color w:val="70AD47" w:themeColor="accent6"/>
          <w:sz w:val="38"/>
        </w:rPr>
        <w:t xml:space="preserve"> </w:t>
      </w:r>
      <w:r w:rsidR="004C04AB">
        <w:rPr>
          <w:color w:val="70AD47" w:themeColor="accent6"/>
          <w:sz w:val="38"/>
        </w:rPr>
        <w:t>Title</w:t>
      </w:r>
      <w:r w:rsidRPr="006B6CCB">
        <w:rPr>
          <w:color w:val="70AD47" w:themeColor="accent6"/>
          <w:sz w:val="38"/>
        </w:rPr>
        <w:t>]</w:t>
      </w:r>
    </w:p>
    <w:p w:rsidR="004E06A6" w:rsidRPr="006B6CCB" w:rsidRDefault="008B6E3D" w:rsidP="00C4301E">
      <w:pPr>
        <w:pStyle w:val="Title"/>
        <w:pBdr>
          <w:bottom w:val="none" w:sz="0" w:space="0" w:color="auto"/>
        </w:pBdr>
        <w:rPr>
          <w:color w:val="70AD47" w:themeColor="accent6"/>
          <w:sz w:val="38"/>
        </w:rPr>
      </w:pPr>
      <w:r w:rsidRPr="006B6CCB">
        <w:rPr>
          <w:color w:val="70AD47" w:themeColor="accent6"/>
          <w:sz w:val="38"/>
        </w:rPr>
        <w:t xml:space="preserve"> </w:t>
      </w:r>
      <w:r w:rsidR="005E3143" w:rsidRPr="006B6CCB">
        <w:rPr>
          <w:color w:val="70AD47" w:themeColor="accent6"/>
          <w:sz w:val="38"/>
        </w:rPr>
        <w:t>[Course Name</w:t>
      </w:r>
      <w:r w:rsidR="004E06A6" w:rsidRPr="006B6CCB">
        <w:rPr>
          <w:color w:val="70AD47" w:themeColor="accent6"/>
          <w:sz w:val="38"/>
        </w:rPr>
        <w:t>/s</w:t>
      </w:r>
      <w:r w:rsidR="005E3143" w:rsidRPr="006B6CCB">
        <w:rPr>
          <w:color w:val="70AD47" w:themeColor="accent6"/>
          <w:sz w:val="38"/>
        </w:rPr>
        <w:t>]</w:t>
      </w:r>
    </w:p>
    <w:p w:rsidR="005E3143" w:rsidRPr="005B1641" w:rsidRDefault="004E06A6" w:rsidP="004E06A6">
      <w:pPr>
        <w:rPr>
          <w:sz w:val="20"/>
          <w:szCs w:val="20"/>
        </w:rPr>
      </w:pPr>
      <w:r w:rsidRPr="005B1641">
        <w:rPr>
          <w:sz w:val="20"/>
          <w:szCs w:val="20"/>
        </w:rPr>
        <w:t xml:space="preserve">UNE undertakes assessment </w:t>
      </w:r>
      <w:r w:rsidR="00DB2951" w:rsidRPr="005B1641">
        <w:rPr>
          <w:sz w:val="20"/>
          <w:szCs w:val="20"/>
        </w:rPr>
        <w:t xml:space="preserve">and grading </w:t>
      </w:r>
      <w:r w:rsidR="00030486">
        <w:rPr>
          <w:sz w:val="20"/>
          <w:szCs w:val="20"/>
        </w:rPr>
        <w:t xml:space="preserve">benchmarking </w:t>
      </w:r>
      <w:r w:rsidRPr="005B1641">
        <w:rPr>
          <w:sz w:val="20"/>
          <w:szCs w:val="20"/>
        </w:rPr>
        <w:t xml:space="preserve">to ensure quality in its teaching and learning delivery, and continuous improvement and enhancement for unit and assessment design, and the student experience. To realise this, UNE undertakes the assessment </w:t>
      </w:r>
      <w:r w:rsidR="00030486">
        <w:rPr>
          <w:sz w:val="20"/>
          <w:szCs w:val="20"/>
        </w:rPr>
        <w:t xml:space="preserve">and grading benchmarking </w:t>
      </w:r>
      <w:r w:rsidRPr="005B1641">
        <w:rPr>
          <w:sz w:val="20"/>
          <w:szCs w:val="20"/>
        </w:rPr>
        <w:t>with a focus on:</w:t>
      </w:r>
    </w:p>
    <w:p w:rsidR="004E06A6" w:rsidRPr="005B1641" w:rsidRDefault="004E06A6" w:rsidP="00C4301E">
      <w:pPr>
        <w:numPr>
          <w:ilvl w:val="0"/>
          <w:numId w:val="2"/>
        </w:numPr>
        <w:rPr>
          <w:sz w:val="20"/>
          <w:szCs w:val="20"/>
        </w:rPr>
      </w:pPr>
      <w:r w:rsidRPr="005B1641">
        <w:rPr>
          <w:sz w:val="20"/>
          <w:szCs w:val="20"/>
        </w:rPr>
        <w:t>assessment in a sample final year</w:t>
      </w:r>
      <w:r w:rsidR="00AE5D8C">
        <w:rPr>
          <w:sz w:val="20"/>
          <w:szCs w:val="20"/>
        </w:rPr>
        <w:t xml:space="preserve"> </w:t>
      </w:r>
      <w:r w:rsidRPr="005B1641">
        <w:rPr>
          <w:sz w:val="20"/>
          <w:szCs w:val="20"/>
        </w:rPr>
        <w:t xml:space="preserve">unit </w:t>
      </w:r>
      <w:r w:rsidR="00AE5D8C">
        <w:rPr>
          <w:sz w:val="20"/>
          <w:szCs w:val="20"/>
        </w:rPr>
        <w:t xml:space="preserve">delivered in the </w:t>
      </w:r>
      <w:r w:rsidRPr="005B1641">
        <w:rPr>
          <w:sz w:val="20"/>
          <w:szCs w:val="20"/>
        </w:rPr>
        <w:t>course</w:t>
      </w:r>
      <w:r w:rsidR="00AE5D8C">
        <w:rPr>
          <w:sz w:val="20"/>
          <w:szCs w:val="20"/>
        </w:rPr>
        <w:t xml:space="preserve"> or across the cognate courses being reviewed</w:t>
      </w:r>
      <w:r w:rsidRPr="005B1641">
        <w:rPr>
          <w:sz w:val="20"/>
          <w:szCs w:val="20"/>
        </w:rPr>
        <w:t>;</w:t>
      </w:r>
    </w:p>
    <w:p w:rsidR="004E06A6" w:rsidRPr="005B1641" w:rsidRDefault="004E06A6" w:rsidP="00C4301E">
      <w:pPr>
        <w:numPr>
          <w:ilvl w:val="0"/>
          <w:numId w:val="2"/>
        </w:numPr>
        <w:rPr>
          <w:sz w:val="20"/>
          <w:szCs w:val="20"/>
        </w:rPr>
      </w:pPr>
      <w:r w:rsidRPr="005B1641">
        <w:rPr>
          <w:sz w:val="20"/>
          <w:szCs w:val="20"/>
        </w:rPr>
        <w:t xml:space="preserve">benchmarking </w:t>
      </w:r>
      <w:r w:rsidR="008A5CAE">
        <w:rPr>
          <w:sz w:val="20"/>
          <w:szCs w:val="20"/>
        </w:rPr>
        <w:t>to</w:t>
      </w:r>
      <w:r w:rsidRPr="005B1641">
        <w:rPr>
          <w:sz w:val="20"/>
          <w:szCs w:val="20"/>
        </w:rPr>
        <w:t xml:space="preserve"> compar</w:t>
      </w:r>
      <w:r w:rsidR="004C04AB">
        <w:rPr>
          <w:sz w:val="20"/>
          <w:szCs w:val="20"/>
        </w:rPr>
        <w:t>e</w:t>
      </w:r>
      <w:r w:rsidRPr="005B1641">
        <w:rPr>
          <w:sz w:val="20"/>
          <w:szCs w:val="20"/>
        </w:rPr>
        <w:t xml:space="preserve"> grades awarded in similar units across universities; and</w:t>
      </w:r>
    </w:p>
    <w:p w:rsidR="004E06A6" w:rsidRPr="005B1641" w:rsidRDefault="004E06A6" w:rsidP="00C4301E">
      <w:pPr>
        <w:numPr>
          <w:ilvl w:val="0"/>
          <w:numId w:val="2"/>
        </w:numPr>
        <w:rPr>
          <w:sz w:val="20"/>
          <w:szCs w:val="20"/>
        </w:rPr>
      </w:pPr>
      <w:r w:rsidRPr="005B1641">
        <w:rPr>
          <w:sz w:val="20"/>
          <w:szCs w:val="20"/>
        </w:rPr>
        <w:t>ensuring</w:t>
      </w:r>
      <w:r w:rsidR="00030486">
        <w:rPr>
          <w:sz w:val="20"/>
          <w:szCs w:val="20"/>
        </w:rPr>
        <w:t xml:space="preserve"> assessment and grading benchmarking</w:t>
      </w:r>
      <w:r w:rsidRPr="005B1641">
        <w:rPr>
          <w:sz w:val="20"/>
          <w:szCs w:val="20"/>
        </w:rPr>
        <w:t xml:space="preserve"> forms part of a suite of scaffolded monitoring, review, and improvement quality assurance mechanisms.</w:t>
      </w:r>
    </w:p>
    <w:p w:rsidR="004E06A6" w:rsidRDefault="004E06A6" w:rsidP="004E06A6">
      <w:pPr>
        <w:rPr>
          <w:sz w:val="20"/>
          <w:szCs w:val="20"/>
        </w:rPr>
      </w:pPr>
    </w:p>
    <w:p w:rsidR="00AE5D8C" w:rsidRPr="005B1641" w:rsidRDefault="00AE5D8C" w:rsidP="00AE5D8C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030486">
        <w:rPr>
          <w:sz w:val="20"/>
          <w:szCs w:val="20"/>
        </w:rPr>
        <w:t>benchmarking</w:t>
      </w:r>
      <w:r>
        <w:rPr>
          <w:sz w:val="20"/>
          <w:szCs w:val="20"/>
        </w:rPr>
        <w:t xml:space="preserve"> process is conversational, and intended to be a </w:t>
      </w:r>
      <w:r w:rsidRPr="00C4301E">
        <w:rPr>
          <w:sz w:val="20"/>
          <w:szCs w:val="20"/>
        </w:rPr>
        <w:t>collaborative dialogue between professionals to</w:t>
      </w:r>
      <w:r>
        <w:rPr>
          <w:sz w:val="20"/>
          <w:szCs w:val="20"/>
        </w:rPr>
        <w:t xml:space="preserve"> </w:t>
      </w:r>
      <w:r w:rsidRPr="00C4301E">
        <w:rPr>
          <w:sz w:val="20"/>
          <w:szCs w:val="20"/>
        </w:rPr>
        <w:t>promote learning</w:t>
      </w:r>
      <w:r>
        <w:rPr>
          <w:sz w:val="20"/>
          <w:szCs w:val="20"/>
        </w:rPr>
        <w:t xml:space="preserve">. </w:t>
      </w:r>
      <w:r w:rsidRPr="00C4301E">
        <w:rPr>
          <w:sz w:val="20"/>
          <w:szCs w:val="20"/>
        </w:rPr>
        <w:t>The learning that is gained from using the conversational approach is based on the idea of reciprocity,</w:t>
      </w:r>
      <w:r>
        <w:rPr>
          <w:sz w:val="20"/>
          <w:szCs w:val="20"/>
        </w:rPr>
        <w:t xml:space="preserve"> </w:t>
      </w:r>
      <w:r w:rsidRPr="00C4301E">
        <w:rPr>
          <w:sz w:val="20"/>
          <w:szCs w:val="20"/>
        </w:rPr>
        <w:t xml:space="preserve">an opportunity for learning when both parties of the </w:t>
      </w:r>
      <w:r w:rsidR="00030486">
        <w:rPr>
          <w:sz w:val="20"/>
          <w:szCs w:val="20"/>
        </w:rPr>
        <w:t>benchmarking</w:t>
      </w:r>
      <w:r w:rsidRPr="00C4301E">
        <w:rPr>
          <w:sz w:val="20"/>
          <w:szCs w:val="20"/>
        </w:rPr>
        <w:t xml:space="preserve"> process (the person/institution requesting</w:t>
      </w:r>
      <w:r>
        <w:rPr>
          <w:sz w:val="20"/>
          <w:szCs w:val="20"/>
        </w:rPr>
        <w:t xml:space="preserve"> </w:t>
      </w:r>
      <w:r w:rsidRPr="00C4301E">
        <w:rPr>
          <w:sz w:val="20"/>
          <w:szCs w:val="20"/>
        </w:rPr>
        <w:t xml:space="preserve">and the person providing </w:t>
      </w:r>
      <w:r>
        <w:rPr>
          <w:sz w:val="20"/>
          <w:szCs w:val="20"/>
        </w:rPr>
        <w:t>f</w:t>
      </w:r>
      <w:r w:rsidRPr="00C4301E">
        <w:rPr>
          <w:sz w:val="20"/>
          <w:szCs w:val="20"/>
        </w:rPr>
        <w:t xml:space="preserve">eedback) accept the </w:t>
      </w:r>
      <w:r w:rsidR="00030486">
        <w:rPr>
          <w:sz w:val="20"/>
          <w:szCs w:val="20"/>
        </w:rPr>
        <w:t>benchmarking</w:t>
      </w:r>
      <w:r w:rsidRPr="00C4301E">
        <w:rPr>
          <w:sz w:val="20"/>
          <w:szCs w:val="20"/>
        </w:rPr>
        <w:t xml:space="preserve"> process as an opportunity for mutual learning.</w:t>
      </w:r>
    </w:p>
    <w:p w:rsidR="00AE5D8C" w:rsidRPr="005B1641" w:rsidRDefault="00AE5D8C" w:rsidP="004E06A6">
      <w:pPr>
        <w:rPr>
          <w:sz w:val="20"/>
          <w:szCs w:val="20"/>
        </w:rPr>
      </w:pPr>
    </w:p>
    <w:p w:rsidR="004E06A6" w:rsidRPr="005B1641" w:rsidRDefault="004E06A6" w:rsidP="004E06A6">
      <w:pPr>
        <w:rPr>
          <w:sz w:val="20"/>
          <w:szCs w:val="20"/>
        </w:rPr>
      </w:pPr>
      <w:r w:rsidRPr="005B1641">
        <w:rPr>
          <w:sz w:val="20"/>
          <w:szCs w:val="20"/>
        </w:rPr>
        <w:t xml:space="preserve">The role of the external reviewer in the assessment and grading </w:t>
      </w:r>
      <w:r w:rsidR="00030486">
        <w:rPr>
          <w:sz w:val="20"/>
          <w:szCs w:val="20"/>
        </w:rPr>
        <w:t xml:space="preserve">benchmarking </w:t>
      </w:r>
      <w:r w:rsidRPr="005B1641">
        <w:rPr>
          <w:sz w:val="20"/>
          <w:szCs w:val="20"/>
        </w:rPr>
        <w:t>is to provide conversational feedback that:</w:t>
      </w:r>
    </w:p>
    <w:p w:rsidR="004E06A6" w:rsidRPr="005B1641" w:rsidRDefault="004E06A6" w:rsidP="00CE714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B1641">
        <w:rPr>
          <w:sz w:val="20"/>
          <w:szCs w:val="20"/>
        </w:rPr>
        <w:t xml:space="preserve">reviews the appropriateness and comparative quality of the specified learning outcomes, assessment tasks, assessment criteria and assessment processes set for </w:t>
      </w:r>
      <w:r w:rsidR="00AE5D8C">
        <w:rPr>
          <w:sz w:val="20"/>
          <w:szCs w:val="20"/>
        </w:rPr>
        <w:t>a</w:t>
      </w:r>
      <w:r w:rsidRPr="005B1641">
        <w:rPr>
          <w:sz w:val="20"/>
          <w:szCs w:val="20"/>
        </w:rPr>
        <w:t xml:space="preserve"> final year </w:t>
      </w:r>
      <w:r w:rsidR="00AE5D8C">
        <w:rPr>
          <w:sz w:val="20"/>
          <w:szCs w:val="20"/>
        </w:rPr>
        <w:t>unit</w:t>
      </w:r>
      <w:r w:rsidRPr="005B1641">
        <w:rPr>
          <w:sz w:val="20"/>
          <w:szCs w:val="20"/>
        </w:rPr>
        <w:t>; and</w:t>
      </w:r>
    </w:p>
    <w:p w:rsidR="004E06A6" w:rsidRDefault="004E06A6" w:rsidP="00CE714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B1641">
        <w:rPr>
          <w:sz w:val="20"/>
          <w:szCs w:val="20"/>
        </w:rPr>
        <w:t xml:space="preserve">reports on the appropriateness of the grades awarded to stratified random samples of student work in </w:t>
      </w:r>
      <w:r w:rsidR="00AE5D8C">
        <w:rPr>
          <w:sz w:val="20"/>
          <w:szCs w:val="20"/>
        </w:rPr>
        <w:t>this unit</w:t>
      </w:r>
      <w:r w:rsidRPr="005B1641">
        <w:rPr>
          <w:sz w:val="20"/>
          <w:szCs w:val="20"/>
        </w:rPr>
        <w:t>.</w:t>
      </w:r>
    </w:p>
    <w:p w:rsidR="004E06A6" w:rsidRPr="005B1641" w:rsidRDefault="004E06A6" w:rsidP="004E06A6">
      <w:pPr>
        <w:rPr>
          <w:sz w:val="20"/>
          <w:szCs w:val="20"/>
        </w:rPr>
      </w:pPr>
    </w:p>
    <w:p w:rsidR="00DB2951" w:rsidRPr="005B1641" w:rsidRDefault="004E06A6" w:rsidP="004E06A6">
      <w:pPr>
        <w:rPr>
          <w:sz w:val="20"/>
          <w:szCs w:val="20"/>
        </w:rPr>
      </w:pPr>
      <w:r w:rsidRPr="005B1641">
        <w:rPr>
          <w:sz w:val="20"/>
          <w:szCs w:val="20"/>
        </w:rPr>
        <w:t xml:space="preserve">The assessment </w:t>
      </w:r>
      <w:r w:rsidR="00030486">
        <w:rPr>
          <w:sz w:val="20"/>
          <w:szCs w:val="20"/>
        </w:rPr>
        <w:t xml:space="preserve">and grading benchmarking </w:t>
      </w:r>
      <w:proofErr w:type="gramStart"/>
      <w:r w:rsidRPr="005B1641">
        <w:rPr>
          <w:sz w:val="20"/>
          <w:szCs w:val="20"/>
        </w:rPr>
        <w:t>has</w:t>
      </w:r>
      <w:proofErr w:type="gramEnd"/>
      <w:r w:rsidRPr="005B1641">
        <w:rPr>
          <w:sz w:val="20"/>
          <w:szCs w:val="20"/>
        </w:rPr>
        <w:t xml:space="preserve"> been designed to align with the best practice principles as outlined in the Council of Australasian University Leaders in Learning and Teaching (CAULLT) project publication “External Peer Review of Assessment: A Guide to Supporting the External Referencing of Academic Standards.”</w:t>
      </w:r>
      <w:r w:rsidRPr="005B1641">
        <w:rPr>
          <w:rStyle w:val="FootnoteReference"/>
          <w:sz w:val="20"/>
          <w:szCs w:val="20"/>
        </w:rPr>
        <w:footnoteReference w:id="1"/>
      </w:r>
    </w:p>
    <w:p w:rsidR="005B1641" w:rsidRPr="005B1641" w:rsidRDefault="005B1641" w:rsidP="008A5CAE">
      <w:pPr>
        <w:pStyle w:val="Heading1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collation of information</w:t>
      </w:r>
    </w:p>
    <w:p w:rsidR="005B1641" w:rsidRPr="005B1641" w:rsidRDefault="005B1641" w:rsidP="005B1641">
      <w:pPr>
        <w:rPr>
          <w:sz w:val="20"/>
          <w:szCs w:val="20"/>
        </w:rPr>
      </w:pPr>
      <w:r w:rsidRPr="005B1641">
        <w:rPr>
          <w:sz w:val="20"/>
          <w:szCs w:val="20"/>
        </w:rPr>
        <w:t xml:space="preserve">To undertake assessment and grading </w:t>
      </w:r>
      <w:r w:rsidR="00030486">
        <w:rPr>
          <w:sz w:val="20"/>
          <w:szCs w:val="20"/>
        </w:rPr>
        <w:t xml:space="preserve">benchmarking </w:t>
      </w:r>
      <w:r w:rsidRPr="005B1641">
        <w:rPr>
          <w:sz w:val="20"/>
          <w:szCs w:val="20"/>
        </w:rPr>
        <w:t xml:space="preserve">as part of a course review, </w:t>
      </w:r>
      <w:r w:rsidR="006B6CCB">
        <w:rPr>
          <w:sz w:val="20"/>
          <w:szCs w:val="20"/>
        </w:rPr>
        <w:t>a peer</w:t>
      </w:r>
      <w:r w:rsidRPr="005B1641">
        <w:rPr>
          <w:sz w:val="20"/>
          <w:szCs w:val="20"/>
        </w:rPr>
        <w:t xml:space="preserve"> should be identified and an agreement reached for peer review. It is anticipated that peer review is a reciprocal exercise with both institutions benefiting from the process. </w:t>
      </w:r>
    </w:p>
    <w:p w:rsidR="00DB2951" w:rsidRPr="005B1641" w:rsidRDefault="00DB2951" w:rsidP="004E06A6">
      <w:pPr>
        <w:rPr>
          <w:sz w:val="20"/>
          <w:szCs w:val="20"/>
        </w:rPr>
      </w:pPr>
    </w:p>
    <w:p w:rsidR="005B1641" w:rsidRPr="005B1641" w:rsidRDefault="005B1641" w:rsidP="004E06A6">
      <w:pPr>
        <w:rPr>
          <w:sz w:val="20"/>
          <w:szCs w:val="20"/>
        </w:rPr>
      </w:pPr>
      <w:r w:rsidRPr="005B1641">
        <w:rPr>
          <w:sz w:val="20"/>
          <w:szCs w:val="20"/>
        </w:rPr>
        <w:t>The following information should be collated and provided to the peer reviewer:</w:t>
      </w:r>
    </w:p>
    <w:p w:rsidR="005B1641" w:rsidRDefault="005B1641" w:rsidP="004E06A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18"/>
        <w:gridCol w:w="6216"/>
      </w:tblGrid>
      <w:tr w:rsidR="00C637E3" w:rsidRPr="005B1641" w:rsidTr="00C637E3">
        <w:tc>
          <w:tcPr>
            <w:tcW w:w="3418" w:type="dxa"/>
          </w:tcPr>
          <w:p w:rsidR="00C637E3" w:rsidRPr="005B1641" w:rsidRDefault="00C637E3" w:rsidP="0052517D">
            <w:pPr>
              <w:rPr>
                <w:b/>
                <w:sz w:val="20"/>
                <w:szCs w:val="20"/>
              </w:rPr>
            </w:pPr>
            <w:r w:rsidRPr="005B164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216" w:type="dxa"/>
          </w:tcPr>
          <w:p w:rsidR="00C637E3" w:rsidRPr="005B1641" w:rsidRDefault="00C637E3" w:rsidP="00525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or attachment number</w:t>
            </w:r>
          </w:p>
        </w:tc>
      </w:tr>
      <w:tr w:rsidR="00C637E3" w:rsidRPr="005B1641" w:rsidTr="00C637E3">
        <w:tc>
          <w:tcPr>
            <w:tcW w:w="3418" w:type="dxa"/>
          </w:tcPr>
          <w:p w:rsidR="00C637E3" w:rsidRPr="005B1641" w:rsidRDefault="00C637E3" w:rsidP="0052517D">
            <w:pPr>
              <w:rPr>
                <w:sz w:val="20"/>
                <w:szCs w:val="20"/>
              </w:rPr>
            </w:pPr>
            <w:r w:rsidRPr="005B1641">
              <w:rPr>
                <w:sz w:val="20"/>
                <w:szCs w:val="20"/>
              </w:rPr>
              <w:t>Course Learning Outcomes</w:t>
            </w:r>
          </w:p>
        </w:tc>
        <w:tc>
          <w:tcPr>
            <w:tcW w:w="6216" w:type="dxa"/>
          </w:tcPr>
          <w:p w:rsidR="00C637E3" w:rsidRPr="005B1641" w:rsidRDefault="00C637E3" w:rsidP="0052517D">
            <w:pPr>
              <w:rPr>
                <w:sz w:val="20"/>
                <w:szCs w:val="20"/>
              </w:rPr>
            </w:pPr>
          </w:p>
        </w:tc>
      </w:tr>
      <w:tr w:rsidR="00C637E3" w:rsidRPr="005B1641" w:rsidTr="00C637E3">
        <w:tc>
          <w:tcPr>
            <w:tcW w:w="3418" w:type="dxa"/>
          </w:tcPr>
          <w:p w:rsidR="00C637E3" w:rsidRPr="005B1641" w:rsidRDefault="00C637E3" w:rsidP="005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information and assessment overview from Moodle</w:t>
            </w:r>
          </w:p>
        </w:tc>
        <w:tc>
          <w:tcPr>
            <w:tcW w:w="6216" w:type="dxa"/>
          </w:tcPr>
          <w:p w:rsidR="00C637E3" w:rsidRPr="005B1641" w:rsidRDefault="00C637E3" w:rsidP="0052517D">
            <w:pPr>
              <w:rPr>
                <w:sz w:val="20"/>
                <w:szCs w:val="20"/>
              </w:rPr>
            </w:pPr>
          </w:p>
        </w:tc>
      </w:tr>
      <w:tr w:rsidR="00C637E3" w:rsidRPr="005B1641" w:rsidTr="00C637E3">
        <w:tc>
          <w:tcPr>
            <w:tcW w:w="3418" w:type="dxa"/>
          </w:tcPr>
          <w:p w:rsidR="00C637E3" w:rsidRPr="005B1641" w:rsidRDefault="00C637E3" w:rsidP="0052517D">
            <w:pPr>
              <w:rPr>
                <w:sz w:val="20"/>
                <w:szCs w:val="20"/>
              </w:rPr>
            </w:pPr>
            <w:r w:rsidRPr="005B1641">
              <w:rPr>
                <w:sz w:val="20"/>
                <w:szCs w:val="20"/>
              </w:rPr>
              <w:t>For each assessment task in the unit, the description of the Assessment Task</w:t>
            </w:r>
            <w:r>
              <w:rPr>
                <w:sz w:val="20"/>
                <w:szCs w:val="20"/>
              </w:rPr>
              <w:t xml:space="preserve"> and grading guidelines or rubric</w:t>
            </w:r>
          </w:p>
        </w:tc>
        <w:tc>
          <w:tcPr>
            <w:tcW w:w="6216" w:type="dxa"/>
          </w:tcPr>
          <w:p w:rsidR="00C637E3" w:rsidRPr="005B1641" w:rsidRDefault="00C637E3" w:rsidP="0052517D">
            <w:pPr>
              <w:rPr>
                <w:sz w:val="20"/>
                <w:szCs w:val="20"/>
              </w:rPr>
            </w:pPr>
          </w:p>
        </w:tc>
      </w:tr>
      <w:tr w:rsidR="00C637E3" w:rsidRPr="005B1641" w:rsidTr="00C637E3">
        <w:tc>
          <w:tcPr>
            <w:tcW w:w="3418" w:type="dxa"/>
          </w:tcPr>
          <w:p w:rsidR="00C637E3" w:rsidRPr="005B1641" w:rsidRDefault="00C637E3" w:rsidP="005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f</w:t>
            </w:r>
            <w:r w:rsidRPr="005B1641">
              <w:rPr>
                <w:sz w:val="20"/>
                <w:szCs w:val="20"/>
              </w:rPr>
              <w:t>ive de-identified piece</w:t>
            </w:r>
            <w:r>
              <w:rPr>
                <w:sz w:val="20"/>
                <w:szCs w:val="20"/>
              </w:rPr>
              <w:t>s</w:t>
            </w:r>
            <w:r w:rsidRPr="005B1641">
              <w:rPr>
                <w:sz w:val="20"/>
                <w:szCs w:val="20"/>
              </w:rPr>
              <w:t xml:space="preserve"> of student work for </w:t>
            </w:r>
            <w:r>
              <w:rPr>
                <w:sz w:val="20"/>
                <w:szCs w:val="20"/>
              </w:rPr>
              <w:t xml:space="preserve">each assessment task, one for </w:t>
            </w:r>
            <w:r w:rsidRPr="005B1641">
              <w:rPr>
                <w:sz w:val="20"/>
                <w:szCs w:val="20"/>
              </w:rPr>
              <w:t>each grad</w:t>
            </w:r>
            <w:r>
              <w:rPr>
                <w:sz w:val="20"/>
                <w:szCs w:val="20"/>
              </w:rPr>
              <w:t>e</w:t>
            </w:r>
            <w:r w:rsidRPr="005B1641">
              <w:rPr>
                <w:sz w:val="20"/>
                <w:szCs w:val="20"/>
              </w:rPr>
              <w:t xml:space="preserve"> (HD, D, C, P, N)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216" w:type="dxa"/>
          </w:tcPr>
          <w:p w:rsidR="00C637E3" w:rsidRPr="005B1641" w:rsidRDefault="00C637E3" w:rsidP="0052517D">
            <w:pPr>
              <w:rPr>
                <w:sz w:val="20"/>
                <w:szCs w:val="20"/>
              </w:rPr>
            </w:pPr>
          </w:p>
        </w:tc>
      </w:tr>
    </w:tbl>
    <w:p w:rsidR="005E3143" w:rsidRPr="008A5CAE" w:rsidRDefault="00030486" w:rsidP="005B1641">
      <w:pPr>
        <w:pStyle w:val="Heading1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br/>
      </w:r>
      <w:r w:rsidR="005B1641" w:rsidRPr="008A5CAE">
        <w:rPr>
          <w:sz w:val="20"/>
          <w:szCs w:val="20"/>
        </w:rPr>
        <w:t>PEER Reviewer questions</w:t>
      </w:r>
    </w:p>
    <w:p w:rsidR="005B1641" w:rsidRPr="008A5CAE" w:rsidRDefault="005B1641" w:rsidP="005B1641">
      <w:pPr>
        <w:rPr>
          <w:sz w:val="20"/>
          <w:szCs w:val="20"/>
        </w:rPr>
      </w:pPr>
    </w:p>
    <w:p w:rsidR="005B1641" w:rsidRPr="008A5CAE" w:rsidRDefault="00975921" w:rsidP="00C430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A5CAE">
        <w:rPr>
          <w:sz w:val="20"/>
          <w:szCs w:val="20"/>
        </w:rPr>
        <w:t>To what extent a</w:t>
      </w:r>
      <w:r w:rsidR="005B1641" w:rsidRPr="008A5CAE">
        <w:rPr>
          <w:sz w:val="20"/>
          <w:szCs w:val="20"/>
        </w:rPr>
        <w:t>re the Unit Learning Outcomes aligned with the relevant Course Learning Outcomes?</w:t>
      </w:r>
    </w:p>
    <w:p w:rsidR="005E3143" w:rsidRPr="008A5CAE" w:rsidRDefault="005E3143" w:rsidP="005E3143">
      <w:pPr>
        <w:rPr>
          <w:color w:val="70AD47" w:themeColor="accent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975921" w:rsidRPr="008A5CAE" w:rsidTr="00975921">
        <w:tc>
          <w:tcPr>
            <w:tcW w:w="1924" w:type="dxa"/>
          </w:tcPr>
          <w:p w:rsidR="00975921" w:rsidRPr="008A5CAE" w:rsidRDefault="00874B3F" w:rsidP="005E3143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7968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Completely</w:t>
            </w:r>
          </w:p>
        </w:tc>
        <w:tc>
          <w:tcPr>
            <w:tcW w:w="1924" w:type="dxa"/>
          </w:tcPr>
          <w:p w:rsidR="00975921" w:rsidRPr="008A5CAE" w:rsidRDefault="00874B3F" w:rsidP="005E3143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7778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Very Well </w:t>
            </w:r>
          </w:p>
        </w:tc>
        <w:tc>
          <w:tcPr>
            <w:tcW w:w="1924" w:type="dxa"/>
          </w:tcPr>
          <w:p w:rsidR="00975921" w:rsidRPr="008A5CAE" w:rsidRDefault="00874B3F" w:rsidP="005E3143">
            <w:pPr>
              <w:rPr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5B9BD5" w:themeColor="accent1"/>
                  <w:sz w:val="20"/>
                  <w:szCs w:val="20"/>
                </w:rPr>
                <w:id w:val="159836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/>
                <w:iCs/>
                <w:color w:val="5B9BD5" w:themeColor="accent1"/>
                <w:sz w:val="20"/>
                <w:szCs w:val="20"/>
              </w:rPr>
              <w:t xml:space="preserve"> </w:t>
            </w:r>
            <w:r w:rsidR="00975921" w:rsidRPr="008A5CAE">
              <w:rPr>
                <w:iCs/>
                <w:sz w:val="20"/>
                <w:szCs w:val="20"/>
              </w:rPr>
              <w:t>Adequately</w:t>
            </w:r>
          </w:p>
        </w:tc>
        <w:tc>
          <w:tcPr>
            <w:tcW w:w="1925" w:type="dxa"/>
          </w:tcPr>
          <w:p w:rsidR="00975921" w:rsidRPr="008A5CAE" w:rsidRDefault="00874B3F" w:rsidP="005E3143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145221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Somewhat  </w:t>
            </w:r>
          </w:p>
        </w:tc>
        <w:tc>
          <w:tcPr>
            <w:tcW w:w="1925" w:type="dxa"/>
          </w:tcPr>
          <w:p w:rsidR="00975921" w:rsidRPr="008A5CAE" w:rsidRDefault="00874B3F" w:rsidP="005E3143">
            <w:pPr>
              <w:rPr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5B9BD5" w:themeColor="accent1"/>
                  <w:sz w:val="20"/>
                  <w:szCs w:val="20"/>
                </w:rPr>
                <w:id w:val="73120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Not at all</w:t>
            </w:r>
          </w:p>
        </w:tc>
      </w:tr>
    </w:tbl>
    <w:p w:rsidR="00975921" w:rsidRPr="008A5CAE" w:rsidRDefault="00975921" w:rsidP="005E3143">
      <w:pPr>
        <w:rPr>
          <w:color w:val="70AD47" w:themeColor="accent6"/>
          <w:sz w:val="20"/>
          <w:szCs w:val="20"/>
        </w:rPr>
      </w:pPr>
    </w:p>
    <w:p w:rsidR="00C4301E" w:rsidRPr="008A5CAE" w:rsidRDefault="00C4301E" w:rsidP="00C4301E">
      <w:pPr>
        <w:rPr>
          <w:sz w:val="20"/>
          <w:szCs w:val="20"/>
        </w:rPr>
      </w:pPr>
      <w:r w:rsidRPr="008A5CAE">
        <w:rPr>
          <w:sz w:val="20"/>
          <w:szCs w:val="20"/>
        </w:rPr>
        <w:t>Provide any further feedback that explains your answer (max 200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75921" w:rsidRPr="008A5CAE" w:rsidTr="00975921">
        <w:tc>
          <w:tcPr>
            <w:tcW w:w="9622" w:type="dxa"/>
          </w:tcPr>
          <w:p w:rsidR="00975921" w:rsidRPr="008A5CAE" w:rsidRDefault="00975921" w:rsidP="00975921">
            <w:pPr>
              <w:rPr>
                <w:iCs/>
                <w:sz w:val="20"/>
                <w:szCs w:val="20"/>
              </w:rPr>
            </w:pPr>
          </w:p>
        </w:tc>
      </w:tr>
    </w:tbl>
    <w:p w:rsidR="00975921" w:rsidRPr="008A5CAE" w:rsidRDefault="00975921" w:rsidP="00975921">
      <w:pPr>
        <w:rPr>
          <w:iCs/>
          <w:sz w:val="20"/>
          <w:szCs w:val="20"/>
        </w:rPr>
      </w:pPr>
    </w:p>
    <w:p w:rsidR="00975921" w:rsidRPr="008A5CAE" w:rsidRDefault="00975921" w:rsidP="00975921">
      <w:pPr>
        <w:rPr>
          <w:color w:val="70AD47" w:themeColor="accent6"/>
          <w:sz w:val="20"/>
          <w:szCs w:val="20"/>
        </w:rPr>
      </w:pPr>
    </w:p>
    <w:p w:rsidR="00975921" w:rsidRPr="008A5CAE" w:rsidRDefault="00975921" w:rsidP="00C430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A5CAE">
        <w:rPr>
          <w:sz w:val="20"/>
          <w:szCs w:val="20"/>
        </w:rPr>
        <w:t xml:space="preserve">To what extent are the </w:t>
      </w:r>
      <w:r w:rsidR="001F1D11">
        <w:rPr>
          <w:sz w:val="20"/>
          <w:szCs w:val="20"/>
        </w:rPr>
        <w:t>U</w:t>
      </w:r>
      <w:r w:rsidRPr="008A5CAE">
        <w:rPr>
          <w:sz w:val="20"/>
          <w:szCs w:val="20"/>
        </w:rPr>
        <w:t xml:space="preserve">nit </w:t>
      </w:r>
      <w:r w:rsidR="001F1D11">
        <w:rPr>
          <w:sz w:val="20"/>
          <w:szCs w:val="20"/>
        </w:rPr>
        <w:t>L</w:t>
      </w:r>
      <w:r w:rsidRPr="008A5CAE">
        <w:rPr>
          <w:sz w:val="20"/>
          <w:szCs w:val="20"/>
        </w:rPr>
        <w:t xml:space="preserve">earning </w:t>
      </w:r>
      <w:r w:rsidR="001F1D11">
        <w:rPr>
          <w:sz w:val="20"/>
          <w:szCs w:val="20"/>
        </w:rPr>
        <w:t>O</w:t>
      </w:r>
      <w:r w:rsidRPr="008A5CAE">
        <w:rPr>
          <w:sz w:val="20"/>
          <w:szCs w:val="20"/>
        </w:rPr>
        <w:t xml:space="preserve">utcomes </w:t>
      </w:r>
      <w:r w:rsidR="00AE5D8C">
        <w:rPr>
          <w:sz w:val="20"/>
          <w:szCs w:val="20"/>
        </w:rPr>
        <w:t xml:space="preserve">and curriculum </w:t>
      </w:r>
      <w:r w:rsidRPr="008A5CAE">
        <w:rPr>
          <w:sz w:val="20"/>
          <w:szCs w:val="20"/>
        </w:rPr>
        <w:t xml:space="preserve">appropriate for </w:t>
      </w:r>
      <w:r w:rsidR="00AE5D8C">
        <w:rPr>
          <w:sz w:val="20"/>
          <w:szCs w:val="20"/>
        </w:rPr>
        <w:t xml:space="preserve">the level of the unit at this AQF Qualification Level? </w:t>
      </w:r>
    </w:p>
    <w:p w:rsidR="00975921" w:rsidRPr="008A5CAE" w:rsidRDefault="00975921" w:rsidP="0097592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975921" w:rsidRPr="008A5CAE" w:rsidTr="001752D2">
        <w:tc>
          <w:tcPr>
            <w:tcW w:w="1924" w:type="dxa"/>
          </w:tcPr>
          <w:p w:rsidR="00975921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107138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Completely</w:t>
            </w:r>
          </w:p>
        </w:tc>
        <w:tc>
          <w:tcPr>
            <w:tcW w:w="1924" w:type="dxa"/>
          </w:tcPr>
          <w:p w:rsidR="00975921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2502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Very Well </w:t>
            </w:r>
          </w:p>
        </w:tc>
        <w:tc>
          <w:tcPr>
            <w:tcW w:w="1924" w:type="dxa"/>
          </w:tcPr>
          <w:p w:rsidR="00975921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5B9BD5" w:themeColor="accent1"/>
                  <w:sz w:val="20"/>
                  <w:szCs w:val="20"/>
                </w:rPr>
                <w:id w:val="-1854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/>
                <w:iCs/>
                <w:color w:val="5B9BD5" w:themeColor="accent1"/>
                <w:sz w:val="20"/>
                <w:szCs w:val="20"/>
              </w:rPr>
              <w:t xml:space="preserve"> </w:t>
            </w:r>
            <w:r w:rsidR="00975921" w:rsidRPr="008A5CAE">
              <w:rPr>
                <w:iCs/>
                <w:sz w:val="20"/>
                <w:szCs w:val="20"/>
              </w:rPr>
              <w:t>Adequately</w:t>
            </w:r>
          </w:p>
        </w:tc>
        <w:tc>
          <w:tcPr>
            <w:tcW w:w="1925" w:type="dxa"/>
          </w:tcPr>
          <w:p w:rsidR="00975921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19620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Somewhat  </w:t>
            </w:r>
          </w:p>
        </w:tc>
        <w:tc>
          <w:tcPr>
            <w:tcW w:w="1925" w:type="dxa"/>
          </w:tcPr>
          <w:p w:rsidR="00975921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5B9BD5" w:themeColor="accent1"/>
                  <w:sz w:val="20"/>
                  <w:szCs w:val="20"/>
                </w:rPr>
                <w:id w:val="6235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Not at all</w:t>
            </w:r>
          </w:p>
        </w:tc>
      </w:tr>
    </w:tbl>
    <w:p w:rsidR="00975921" w:rsidRPr="008A5CAE" w:rsidRDefault="00975921" w:rsidP="00975921">
      <w:pPr>
        <w:rPr>
          <w:sz w:val="20"/>
          <w:szCs w:val="20"/>
        </w:rPr>
      </w:pPr>
    </w:p>
    <w:p w:rsidR="00975921" w:rsidRPr="008A5CAE" w:rsidRDefault="00975921" w:rsidP="00975921">
      <w:pPr>
        <w:rPr>
          <w:sz w:val="20"/>
          <w:szCs w:val="20"/>
        </w:rPr>
      </w:pPr>
      <w:r w:rsidRPr="008A5CAE">
        <w:rPr>
          <w:sz w:val="20"/>
          <w:szCs w:val="20"/>
        </w:rPr>
        <w:t xml:space="preserve">Provide any further feedback </w:t>
      </w:r>
      <w:r w:rsidR="00C4301E" w:rsidRPr="008A5CAE">
        <w:rPr>
          <w:sz w:val="20"/>
          <w:szCs w:val="20"/>
        </w:rPr>
        <w:t xml:space="preserve">that explains your answer </w:t>
      </w:r>
      <w:r w:rsidRPr="008A5CAE">
        <w:rPr>
          <w:sz w:val="20"/>
          <w:szCs w:val="20"/>
        </w:rPr>
        <w:t>(max 200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75921" w:rsidRPr="008A5CAE" w:rsidTr="001752D2">
        <w:tc>
          <w:tcPr>
            <w:tcW w:w="9622" w:type="dxa"/>
          </w:tcPr>
          <w:p w:rsidR="00975921" w:rsidRPr="008A5CAE" w:rsidRDefault="00975921" w:rsidP="001752D2">
            <w:pPr>
              <w:rPr>
                <w:sz w:val="20"/>
                <w:szCs w:val="20"/>
              </w:rPr>
            </w:pPr>
          </w:p>
        </w:tc>
      </w:tr>
    </w:tbl>
    <w:p w:rsidR="00975921" w:rsidRPr="008A5CAE" w:rsidRDefault="00975921" w:rsidP="00975921">
      <w:pPr>
        <w:rPr>
          <w:sz w:val="20"/>
          <w:szCs w:val="20"/>
        </w:rPr>
      </w:pPr>
    </w:p>
    <w:p w:rsidR="00975921" w:rsidRPr="008A5CAE" w:rsidRDefault="00975921" w:rsidP="00975921">
      <w:pPr>
        <w:rPr>
          <w:sz w:val="20"/>
          <w:szCs w:val="20"/>
        </w:rPr>
      </w:pPr>
    </w:p>
    <w:p w:rsidR="00975921" w:rsidRPr="008A5CAE" w:rsidRDefault="00975921" w:rsidP="00C430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A5CAE">
        <w:rPr>
          <w:sz w:val="20"/>
          <w:szCs w:val="20"/>
        </w:rPr>
        <w:t xml:space="preserve">Does the assessment enable students to demonstrate attainment of both the Unit Learning Outcomes and relevant Course Learning Outcomes? </w:t>
      </w:r>
    </w:p>
    <w:p w:rsidR="00975921" w:rsidRPr="008A5CAE" w:rsidRDefault="00975921" w:rsidP="0097592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975921" w:rsidRPr="008A5CAE" w:rsidTr="001752D2">
        <w:tc>
          <w:tcPr>
            <w:tcW w:w="1924" w:type="dxa"/>
          </w:tcPr>
          <w:p w:rsidR="00975921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9415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Completely</w:t>
            </w:r>
          </w:p>
        </w:tc>
        <w:tc>
          <w:tcPr>
            <w:tcW w:w="1924" w:type="dxa"/>
          </w:tcPr>
          <w:p w:rsidR="00975921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6375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Very Well </w:t>
            </w:r>
          </w:p>
        </w:tc>
        <w:tc>
          <w:tcPr>
            <w:tcW w:w="1924" w:type="dxa"/>
          </w:tcPr>
          <w:p w:rsidR="00975921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5B9BD5" w:themeColor="accent1"/>
                  <w:sz w:val="20"/>
                  <w:szCs w:val="20"/>
                </w:rPr>
                <w:id w:val="85684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/>
                <w:iCs/>
                <w:color w:val="5B9BD5" w:themeColor="accent1"/>
                <w:sz w:val="20"/>
                <w:szCs w:val="20"/>
              </w:rPr>
              <w:t xml:space="preserve"> </w:t>
            </w:r>
            <w:r w:rsidR="00975921" w:rsidRPr="008A5CAE">
              <w:rPr>
                <w:iCs/>
                <w:sz w:val="20"/>
                <w:szCs w:val="20"/>
              </w:rPr>
              <w:t>Adequately</w:t>
            </w:r>
          </w:p>
        </w:tc>
        <w:tc>
          <w:tcPr>
            <w:tcW w:w="1925" w:type="dxa"/>
          </w:tcPr>
          <w:p w:rsidR="00975921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189539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Somewhat  </w:t>
            </w:r>
          </w:p>
        </w:tc>
        <w:tc>
          <w:tcPr>
            <w:tcW w:w="1925" w:type="dxa"/>
          </w:tcPr>
          <w:p w:rsidR="00975921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5B9BD5" w:themeColor="accent1"/>
                  <w:sz w:val="20"/>
                  <w:szCs w:val="20"/>
                </w:rPr>
                <w:id w:val="-10361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21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75921" w:rsidRPr="008A5CAE">
              <w:rPr>
                <w:iCs/>
                <w:sz w:val="20"/>
                <w:szCs w:val="20"/>
              </w:rPr>
              <w:t xml:space="preserve"> Not at all</w:t>
            </w:r>
          </w:p>
        </w:tc>
      </w:tr>
    </w:tbl>
    <w:p w:rsidR="00975921" w:rsidRPr="008A5CAE" w:rsidRDefault="00975921" w:rsidP="00975921">
      <w:pPr>
        <w:rPr>
          <w:sz w:val="20"/>
          <w:szCs w:val="20"/>
        </w:rPr>
      </w:pPr>
    </w:p>
    <w:p w:rsidR="00C4301E" w:rsidRPr="008A5CAE" w:rsidRDefault="00C4301E" w:rsidP="00C4301E">
      <w:pPr>
        <w:rPr>
          <w:sz w:val="20"/>
          <w:szCs w:val="20"/>
        </w:rPr>
      </w:pPr>
      <w:r w:rsidRPr="008A5CAE">
        <w:rPr>
          <w:sz w:val="20"/>
          <w:szCs w:val="20"/>
        </w:rPr>
        <w:t>Provide any further feedback that explains your answer (max 200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301E" w:rsidRPr="008A5CAE" w:rsidTr="001752D2">
        <w:tc>
          <w:tcPr>
            <w:tcW w:w="9622" w:type="dxa"/>
          </w:tcPr>
          <w:p w:rsidR="00C4301E" w:rsidRPr="008A5CAE" w:rsidRDefault="00C4301E" w:rsidP="001752D2">
            <w:pPr>
              <w:rPr>
                <w:sz w:val="20"/>
                <w:szCs w:val="20"/>
              </w:rPr>
            </w:pPr>
          </w:p>
        </w:tc>
      </w:tr>
    </w:tbl>
    <w:p w:rsidR="00975921" w:rsidRPr="008A5CAE" w:rsidRDefault="00975921" w:rsidP="00975921">
      <w:pPr>
        <w:rPr>
          <w:sz w:val="20"/>
          <w:szCs w:val="20"/>
        </w:rPr>
      </w:pPr>
    </w:p>
    <w:p w:rsidR="00975921" w:rsidRPr="008A5CAE" w:rsidRDefault="00975921" w:rsidP="00975921">
      <w:pPr>
        <w:rPr>
          <w:sz w:val="20"/>
          <w:szCs w:val="20"/>
        </w:rPr>
      </w:pPr>
    </w:p>
    <w:p w:rsidR="00975921" w:rsidRPr="008A5CAE" w:rsidRDefault="008A5CAE" w:rsidP="00C430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A5CAE">
        <w:rPr>
          <w:sz w:val="20"/>
          <w:szCs w:val="20"/>
        </w:rPr>
        <w:t xml:space="preserve">Are </w:t>
      </w:r>
      <w:r w:rsidR="00975921" w:rsidRPr="008A5CAE">
        <w:rPr>
          <w:sz w:val="20"/>
          <w:szCs w:val="20"/>
        </w:rPr>
        <w:t xml:space="preserve">the </w:t>
      </w:r>
      <w:r w:rsidR="00C4301E" w:rsidRPr="008A5CAE">
        <w:rPr>
          <w:sz w:val="20"/>
          <w:szCs w:val="20"/>
        </w:rPr>
        <w:t>grading guidelines or rubric</w:t>
      </w:r>
      <w:r w:rsidR="00975921" w:rsidRPr="008A5CAE">
        <w:rPr>
          <w:sz w:val="20"/>
          <w:szCs w:val="20"/>
        </w:rPr>
        <w:t xml:space="preserve"> appropriate for </w:t>
      </w:r>
      <w:r w:rsidRPr="008A5CAE">
        <w:rPr>
          <w:sz w:val="20"/>
          <w:szCs w:val="20"/>
        </w:rPr>
        <w:t xml:space="preserve">the </w:t>
      </w:r>
      <w:r w:rsidR="00975921" w:rsidRPr="008A5CAE">
        <w:rPr>
          <w:sz w:val="20"/>
          <w:szCs w:val="20"/>
        </w:rPr>
        <w:t>specified Unit Learning Outcomes and Course Learning Outcomes?</w:t>
      </w:r>
    </w:p>
    <w:p w:rsidR="00975921" w:rsidRPr="008A5CAE" w:rsidRDefault="00975921" w:rsidP="0097592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C4301E" w:rsidRPr="008A5CAE" w:rsidTr="001752D2">
        <w:tc>
          <w:tcPr>
            <w:tcW w:w="1924" w:type="dxa"/>
          </w:tcPr>
          <w:p w:rsidR="00C4301E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13970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01E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4301E" w:rsidRPr="008A5CAE">
              <w:rPr>
                <w:iCs/>
                <w:sz w:val="20"/>
                <w:szCs w:val="20"/>
              </w:rPr>
              <w:t xml:space="preserve"> Completely</w:t>
            </w:r>
          </w:p>
        </w:tc>
        <w:tc>
          <w:tcPr>
            <w:tcW w:w="1924" w:type="dxa"/>
          </w:tcPr>
          <w:p w:rsidR="00C4301E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423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01E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4301E" w:rsidRPr="008A5CAE">
              <w:rPr>
                <w:iCs/>
                <w:sz w:val="20"/>
                <w:szCs w:val="20"/>
              </w:rPr>
              <w:t xml:space="preserve"> Very Well </w:t>
            </w:r>
          </w:p>
        </w:tc>
        <w:tc>
          <w:tcPr>
            <w:tcW w:w="1924" w:type="dxa"/>
          </w:tcPr>
          <w:p w:rsidR="00C4301E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5B9BD5" w:themeColor="accent1"/>
                  <w:sz w:val="20"/>
                  <w:szCs w:val="20"/>
                </w:rPr>
                <w:id w:val="-66625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01E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4301E" w:rsidRPr="008A5CAE">
              <w:rPr>
                <w:i/>
                <w:iCs/>
                <w:color w:val="5B9BD5" w:themeColor="accent1"/>
                <w:sz w:val="20"/>
                <w:szCs w:val="20"/>
              </w:rPr>
              <w:t xml:space="preserve"> </w:t>
            </w:r>
            <w:r w:rsidR="00C4301E" w:rsidRPr="008A5CAE">
              <w:rPr>
                <w:iCs/>
                <w:sz w:val="20"/>
                <w:szCs w:val="20"/>
              </w:rPr>
              <w:t>Adequately</w:t>
            </w:r>
          </w:p>
        </w:tc>
        <w:tc>
          <w:tcPr>
            <w:tcW w:w="1925" w:type="dxa"/>
          </w:tcPr>
          <w:p w:rsidR="00C4301E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10338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01E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4301E" w:rsidRPr="008A5CAE">
              <w:rPr>
                <w:iCs/>
                <w:sz w:val="20"/>
                <w:szCs w:val="20"/>
              </w:rPr>
              <w:t xml:space="preserve"> Somewhat  </w:t>
            </w:r>
          </w:p>
        </w:tc>
        <w:tc>
          <w:tcPr>
            <w:tcW w:w="1925" w:type="dxa"/>
          </w:tcPr>
          <w:p w:rsidR="00C4301E" w:rsidRPr="008A5CAE" w:rsidRDefault="00874B3F" w:rsidP="001752D2">
            <w:pPr>
              <w:rPr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5B9BD5" w:themeColor="accent1"/>
                  <w:sz w:val="20"/>
                  <w:szCs w:val="20"/>
                </w:rPr>
                <w:id w:val="-1835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01E" w:rsidRPr="008A5C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4301E" w:rsidRPr="008A5CAE">
              <w:rPr>
                <w:iCs/>
                <w:sz w:val="20"/>
                <w:szCs w:val="20"/>
              </w:rPr>
              <w:t xml:space="preserve"> Not at all</w:t>
            </w:r>
          </w:p>
        </w:tc>
      </w:tr>
    </w:tbl>
    <w:p w:rsidR="00C4301E" w:rsidRPr="008A5CAE" w:rsidRDefault="00C4301E" w:rsidP="00975921">
      <w:pPr>
        <w:rPr>
          <w:sz w:val="20"/>
          <w:szCs w:val="20"/>
        </w:rPr>
      </w:pPr>
    </w:p>
    <w:p w:rsidR="00C4301E" w:rsidRPr="008A5CAE" w:rsidRDefault="00C4301E" w:rsidP="00C4301E">
      <w:pPr>
        <w:rPr>
          <w:sz w:val="20"/>
          <w:szCs w:val="20"/>
        </w:rPr>
      </w:pPr>
      <w:r w:rsidRPr="008A5CAE">
        <w:rPr>
          <w:sz w:val="20"/>
          <w:szCs w:val="20"/>
        </w:rPr>
        <w:t>Provide any further feedback that explains your answer (max 200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301E" w:rsidRPr="008A5CAE" w:rsidTr="001752D2">
        <w:tc>
          <w:tcPr>
            <w:tcW w:w="9622" w:type="dxa"/>
          </w:tcPr>
          <w:p w:rsidR="00C4301E" w:rsidRPr="008A5CAE" w:rsidRDefault="00C4301E" w:rsidP="001752D2">
            <w:pPr>
              <w:rPr>
                <w:sz w:val="20"/>
                <w:szCs w:val="20"/>
              </w:rPr>
            </w:pPr>
          </w:p>
        </w:tc>
      </w:tr>
    </w:tbl>
    <w:p w:rsidR="00E0159F" w:rsidRPr="008A5CAE" w:rsidRDefault="00E0159F" w:rsidP="00E0159F">
      <w:pPr>
        <w:rPr>
          <w:sz w:val="20"/>
          <w:szCs w:val="20"/>
        </w:rPr>
      </w:pPr>
    </w:p>
    <w:p w:rsidR="00C4301E" w:rsidRPr="008A5CAE" w:rsidRDefault="00C4301E" w:rsidP="00C4301E">
      <w:pPr>
        <w:pStyle w:val="Heading1"/>
        <w:numPr>
          <w:ilvl w:val="0"/>
          <w:numId w:val="0"/>
        </w:numPr>
        <w:rPr>
          <w:sz w:val="20"/>
          <w:szCs w:val="20"/>
        </w:rPr>
      </w:pPr>
      <w:r w:rsidRPr="008A5CAE">
        <w:rPr>
          <w:sz w:val="20"/>
          <w:szCs w:val="20"/>
        </w:rPr>
        <w:t>Assessment Tasks</w:t>
      </w:r>
    </w:p>
    <w:p w:rsidR="00C4301E" w:rsidRPr="008A5CAE" w:rsidRDefault="00C4301E" w:rsidP="00C4301E">
      <w:pPr>
        <w:rPr>
          <w:sz w:val="20"/>
          <w:szCs w:val="20"/>
        </w:rPr>
      </w:pPr>
    </w:p>
    <w:p w:rsidR="00051332" w:rsidRPr="008A5CAE" w:rsidRDefault="00C4301E" w:rsidP="00051332">
      <w:pPr>
        <w:rPr>
          <w:sz w:val="20"/>
          <w:szCs w:val="20"/>
        </w:rPr>
      </w:pPr>
      <w:r w:rsidRPr="008A5CAE">
        <w:rPr>
          <w:sz w:val="20"/>
          <w:szCs w:val="20"/>
        </w:rPr>
        <w:t>Do the grades awarded</w:t>
      </w:r>
      <w:r w:rsidR="00051332">
        <w:rPr>
          <w:sz w:val="20"/>
          <w:szCs w:val="20"/>
        </w:rPr>
        <w:t xml:space="preserve"> to the five pieces of de-identified student work provided,</w:t>
      </w:r>
    </w:p>
    <w:p w:rsidR="00C4301E" w:rsidRPr="008A5CAE" w:rsidRDefault="00C4301E" w:rsidP="00C4301E">
      <w:pPr>
        <w:rPr>
          <w:sz w:val="20"/>
          <w:szCs w:val="20"/>
        </w:rPr>
      </w:pPr>
      <w:r w:rsidRPr="008A5CAE">
        <w:rPr>
          <w:sz w:val="20"/>
          <w:szCs w:val="20"/>
        </w:rPr>
        <w:t xml:space="preserve"> </w:t>
      </w:r>
      <w:r w:rsidR="00051332">
        <w:rPr>
          <w:sz w:val="20"/>
          <w:szCs w:val="20"/>
        </w:rPr>
        <w:t xml:space="preserve">accurately </w:t>
      </w:r>
      <w:r w:rsidRPr="008A5CAE">
        <w:rPr>
          <w:sz w:val="20"/>
          <w:szCs w:val="20"/>
        </w:rPr>
        <w:t>reflect the level of student attainment</w:t>
      </w:r>
      <w:r w:rsidR="00051332">
        <w:rPr>
          <w:sz w:val="20"/>
          <w:szCs w:val="20"/>
        </w:rPr>
        <w:t xml:space="preserve">? </w:t>
      </w:r>
    </w:p>
    <w:p w:rsidR="00C4301E" w:rsidRPr="008A5CAE" w:rsidRDefault="00C4301E" w:rsidP="00C4301E">
      <w:pPr>
        <w:rPr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57"/>
        <w:gridCol w:w="8177"/>
      </w:tblGrid>
      <w:tr w:rsidR="00C4301E" w:rsidRPr="008A5CAE" w:rsidTr="00C4301E">
        <w:tc>
          <w:tcPr>
            <w:tcW w:w="915" w:type="dxa"/>
          </w:tcPr>
          <w:p w:rsidR="00C4301E" w:rsidRPr="008A5CAE" w:rsidRDefault="008A5CAE" w:rsidP="00C4301E">
            <w:pPr>
              <w:rPr>
                <w:b/>
                <w:sz w:val="20"/>
                <w:szCs w:val="20"/>
              </w:rPr>
            </w:pPr>
            <w:r w:rsidRPr="008A5CAE">
              <w:rPr>
                <w:b/>
                <w:sz w:val="20"/>
                <w:szCs w:val="20"/>
              </w:rPr>
              <w:t xml:space="preserve">Assessment </w:t>
            </w:r>
            <w:r w:rsidR="00C4301E" w:rsidRPr="008A5CA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8719" w:type="dxa"/>
          </w:tcPr>
          <w:p w:rsidR="00C4301E" w:rsidRPr="008A5CAE" w:rsidRDefault="00C4301E" w:rsidP="00C4301E">
            <w:pPr>
              <w:rPr>
                <w:b/>
                <w:sz w:val="20"/>
                <w:szCs w:val="20"/>
              </w:rPr>
            </w:pPr>
            <w:r w:rsidRPr="008A5CAE">
              <w:rPr>
                <w:b/>
                <w:sz w:val="20"/>
                <w:szCs w:val="20"/>
              </w:rPr>
              <w:t>Commentary</w:t>
            </w:r>
          </w:p>
        </w:tc>
      </w:tr>
      <w:tr w:rsidR="00C4301E" w:rsidRPr="008A5CAE" w:rsidTr="00C4301E">
        <w:tc>
          <w:tcPr>
            <w:tcW w:w="915" w:type="dxa"/>
          </w:tcPr>
          <w:p w:rsidR="00C4301E" w:rsidRPr="008A5CAE" w:rsidRDefault="00C4301E" w:rsidP="00C4301E">
            <w:pPr>
              <w:rPr>
                <w:sz w:val="20"/>
                <w:szCs w:val="20"/>
              </w:rPr>
            </w:pPr>
            <w:r w:rsidRPr="008A5CAE">
              <w:rPr>
                <w:sz w:val="20"/>
                <w:szCs w:val="20"/>
              </w:rPr>
              <w:t>1</w:t>
            </w:r>
          </w:p>
        </w:tc>
        <w:tc>
          <w:tcPr>
            <w:tcW w:w="8719" w:type="dxa"/>
          </w:tcPr>
          <w:p w:rsidR="00C4301E" w:rsidRPr="008A5CAE" w:rsidRDefault="00C4301E" w:rsidP="00C4301E">
            <w:pPr>
              <w:rPr>
                <w:sz w:val="20"/>
                <w:szCs w:val="20"/>
              </w:rPr>
            </w:pPr>
          </w:p>
        </w:tc>
      </w:tr>
      <w:tr w:rsidR="00C4301E" w:rsidRPr="008A5CAE" w:rsidTr="00C4301E">
        <w:tc>
          <w:tcPr>
            <w:tcW w:w="915" w:type="dxa"/>
          </w:tcPr>
          <w:p w:rsidR="00C4301E" w:rsidRPr="008A5CAE" w:rsidRDefault="00C4301E" w:rsidP="00C4301E">
            <w:pPr>
              <w:rPr>
                <w:sz w:val="20"/>
                <w:szCs w:val="20"/>
              </w:rPr>
            </w:pPr>
            <w:r w:rsidRPr="008A5CAE">
              <w:rPr>
                <w:sz w:val="20"/>
                <w:szCs w:val="20"/>
              </w:rPr>
              <w:t>2</w:t>
            </w:r>
          </w:p>
        </w:tc>
        <w:tc>
          <w:tcPr>
            <w:tcW w:w="8719" w:type="dxa"/>
          </w:tcPr>
          <w:p w:rsidR="00C4301E" w:rsidRPr="008A5CAE" w:rsidRDefault="00C4301E" w:rsidP="00C4301E">
            <w:pPr>
              <w:rPr>
                <w:sz w:val="20"/>
                <w:szCs w:val="20"/>
              </w:rPr>
            </w:pPr>
          </w:p>
        </w:tc>
      </w:tr>
      <w:tr w:rsidR="00C4301E" w:rsidRPr="008A5CAE" w:rsidTr="00C4301E">
        <w:tc>
          <w:tcPr>
            <w:tcW w:w="915" w:type="dxa"/>
          </w:tcPr>
          <w:p w:rsidR="00C4301E" w:rsidRPr="008A5CAE" w:rsidRDefault="00C4301E" w:rsidP="00C4301E">
            <w:pPr>
              <w:rPr>
                <w:sz w:val="20"/>
                <w:szCs w:val="20"/>
              </w:rPr>
            </w:pPr>
            <w:r w:rsidRPr="008A5CAE">
              <w:rPr>
                <w:sz w:val="20"/>
                <w:szCs w:val="20"/>
              </w:rPr>
              <w:t>3</w:t>
            </w:r>
          </w:p>
        </w:tc>
        <w:tc>
          <w:tcPr>
            <w:tcW w:w="8719" w:type="dxa"/>
          </w:tcPr>
          <w:p w:rsidR="00C4301E" w:rsidRPr="008A5CAE" w:rsidRDefault="00C4301E" w:rsidP="00C4301E">
            <w:pPr>
              <w:rPr>
                <w:sz w:val="20"/>
                <w:szCs w:val="20"/>
              </w:rPr>
            </w:pPr>
          </w:p>
        </w:tc>
      </w:tr>
      <w:tr w:rsidR="00C4301E" w:rsidRPr="008A5CAE" w:rsidTr="00C4301E">
        <w:tc>
          <w:tcPr>
            <w:tcW w:w="915" w:type="dxa"/>
          </w:tcPr>
          <w:p w:rsidR="00C4301E" w:rsidRPr="008A5CAE" w:rsidRDefault="00C4301E" w:rsidP="00C4301E">
            <w:pPr>
              <w:rPr>
                <w:sz w:val="20"/>
                <w:szCs w:val="20"/>
              </w:rPr>
            </w:pPr>
            <w:r w:rsidRPr="008A5CAE">
              <w:rPr>
                <w:sz w:val="20"/>
                <w:szCs w:val="20"/>
              </w:rPr>
              <w:t>4</w:t>
            </w:r>
          </w:p>
        </w:tc>
        <w:tc>
          <w:tcPr>
            <w:tcW w:w="8719" w:type="dxa"/>
          </w:tcPr>
          <w:p w:rsidR="00C4301E" w:rsidRPr="008A5CAE" w:rsidRDefault="00C4301E" w:rsidP="00C4301E">
            <w:pPr>
              <w:rPr>
                <w:sz w:val="20"/>
                <w:szCs w:val="20"/>
              </w:rPr>
            </w:pPr>
          </w:p>
        </w:tc>
      </w:tr>
      <w:tr w:rsidR="00C4301E" w:rsidRPr="008A5CAE" w:rsidTr="00C4301E">
        <w:tc>
          <w:tcPr>
            <w:tcW w:w="915" w:type="dxa"/>
          </w:tcPr>
          <w:p w:rsidR="00C4301E" w:rsidRPr="008A5CAE" w:rsidRDefault="00C4301E" w:rsidP="00C4301E">
            <w:pPr>
              <w:rPr>
                <w:sz w:val="20"/>
                <w:szCs w:val="20"/>
              </w:rPr>
            </w:pPr>
            <w:r w:rsidRPr="008A5CAE">
              <w:rPr>
                <w:sz w:val="20"/>
                <w:szCs w:val="20"/>
              </w:rPr>
              <w:t>…</w:t>
            </w:r>
          </w:p>
        </w:tc>
        <w:tc>
          <w:tcPr>
            <w:tcW w:w="8719" w:type="dxa"/>
          </w:tcPr>
          <w:p w:rsidR="00C4301E" w:rsidRPr="008A5CAE" w:rsidRDefault="00C4301E" w:rsidP="00C4301E">
            <w:pPr>
              <w:rPr>
                <w:sz w:val="20"/>
                <w:szCs w:val="20"/>
              </w:rPr>
            </w:pPr>
            <w:r w:rsidRPr="008A5CAE">
              <w:rPr>
                <w:sz w:val="20"/>
                <w:szCs w:val="20"/>
              </w:rPr>
              <w:t>[Add or delete rows as necessary]</w:t>
            </w:r>
          </w:p>
        </w:tc>
      </w:tr>
    </w:tbl>
    <w:p w:rsidR="00C4301E" w:rsidRPr="008A5CAE" w:rsidRDefault="00C4301E" w:rsidP="00C4301E">
      <w:pPr>
        <w:rPr>
          <w:sz w:val="20"/>
          <w:szCs w:val="20"/>
        </w:rPr>
      </w:pPr>
    </w:p>
    <w:p w:rsidR="00975921" w:rsidRPr="008A5CAE" w:rsidRDefault="00975921" w:rsidP="00975921">
      <w:pPr>
        <w:rPr>
          <w:sz w:val="20"/>
          <w:szCs w:val="20"/>
        </w:rPr>
      </w:pPr>
    </w:p>
    <w:p w:rsidR="00975921" w:rsidRDefault="00AE5D8C" w:rsidP="00975921">
      <w:pPr>
        <w:rPr>
          <w:sz w:val="20"/>
          <w:szCs w:val="20"/>
        </w:rPr>
      </w:pPr>
      <w:r>
        <w:rPr>
          <w:sz w:val="20"/>
          <w:szCs w:val="20"/>
        </w:rPr>
        <w:t>Do you have any other feedback about the assessment, including opportunities for improvement?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E5D8C" w:rsidTr="00AE5D8C">
        <w:tc>
          <w:tcPr>
            <w:tcW w:w="9622" w:type="dxa"/>
          </w:tcPr>
          <w:p w:rsidR="00AE5D8C" w:rsidRDefault="00AE5D8C" w:rsidP="00975921">
            <w:pPr>
              <w:rPr>
                <w:sz w:val="20"/>
                <w:szCs w:val="20"/>
              </w:rPr>
            </w:pPr>
          </w:p>
        </w:tc>
      </w:tr>
    </w:tbl>
    <w:p w:rsidR="00AE5D8C" w:rsidRPr="008A5CAE" w:rsidRDefault="00AE5D8C" w:rsidP="00975921">
      <w:pPr>
        <w:rPr>
          <w:sz w:val="20"/>
          <w:szCs w:val="20"/>
        </w:rPr>
      </w:pPr>
    </w:p>
    <w:p w:rsidR="00975921" w:rsidRDefault="00975921" w:rsidP="00975921">
      <w:pPr>
        <w:rPr>
          <w:color w:val="70AD47" w:themeColor="accent6"/>
          <w:sz w:val="20"/>
          <w:szCs w:val="20"/>
        </w:rPr>
      </w:pPr>
    </w:p>
    <w:p w:rsidR="00E03BDD" w:rsidRDefault="00E03BDD">
      <w:pPr>
        <w:spacing w:after="160" w:line="259" w:lineRule="auto"/>
        <w:rPr>
          <w:color w:val="70AD47" w:themeColor="accent6"/>
          <w:sz w:val="20"/>
          <w:szCs w:val="20"/>
        </w:rPr>
      </w:pPr>
      <w:r>
        <w:rPr>
          <w:color w:val="70AD47" w:themeColor="accent6"/>
          <w:sz w:val="20"/>
          <w:szCs w:val="20"/>
        </w:rPr>
        <w:br w:type="page"/>
      </w:r>
    </w:p>
    <w:p w:rsidR="00E03BDD" w:rsidRPr="008A5CAE" w:rsidRDefault="00E03BDD" w:rsidP="00975921">
      <w:pPr>
        <w:rPr>
          <w:color w:val="70AD47" w:themeColor="accent6"/>
          <w:sz w:val="20"/>
          <w:szCs w:val="20"/>
        </w:rPr>
      </w:pPr>
    </w:p>
    <w:p w:rsidR="00975921" w:rsidRPr="008A5CAE" w:rsidRDefault="00975921" w:rsidP="00975921">
      <w:pPr>
        <w:rPr>
          <w:color w:val="70AD47" w:themeColor="accent6"/>
          <w:sz w:val="20"/>
          <w:szCs w:val="20"/>
        </w:rPr>
      </w:pPr>
    </w:p>
    <w:p w:rsidR="00975921" w:rsidRPr="00893561" w:rsidRDefault="00E03BDD" w:rsidP="00975921">
      <w:pPr>
        <w:rPr>
          <w:b/>
          <w:sz w:val="20"/>
          <w:szCs w:val="20"/>
        </w:rPr>
      </w:pPr>
      <w:r w:rsidRPr="00893561">
        <w:rPr>
          <w:b/>
          <w:sz w:val="20"/>
          <w:szCs w:val="20"/>
        </w:rPr>
        <w:t xml:space="preserve">Appendix 1: UNE Assessment and Grading information. </w:t>
      </w:r>
    </w:p>
    <w:p w:rsidR="00E03BDD" w:rsidRPr="00893561" w:rsidRDefault="00E03BDD" w:rsidP="00975921">
      <w:pPr>
        <w:rPr>
          <w:sz w:val="20"/>
          <w:szCs w:val="20"/>
        </w:rPr>
      </w:pPr>
    </w:p>
    <w:p w:rsidR="00E03BDD" w:rsidRDefault="00E03BDD" w:rsidP="00975921">
      <w:pPr>
        <w:rPr>
          <w:color w:val="70AD47" w:themeColor="accent6"/>
          <w:sz w:val="20"/>
          <w:szCs w:val="20"/>
        </w:rPr>
      </w:pPr>
      <w:r w:rsidRPr="00893561">
        <w:rPr>
          <w:sz w:val="20"/>
          <w:szCs w:val="20"/>
        </w:rPr>
        <w:t xml:space="preserve">Key information on assessment and grading is available in the UNE </w:t>
      </w:r>
      <w:hyperlink r:id="rId12" w:history="1">
        <w:r w:rsidRPr="00E03BDD">
          <w:rPr>
            <w:rStyle w:val="Hyperlink"/>
            <w:sz w:val="20"/>
            <w:szCs w:val="20"/>
          </w:rPr>
          <w:t>Assessment Guidelines</w:t>
        </w:r>
      </w:hyperlink>
      <w:r>
        <w:rPr>
          <w:color w:val="70AD47" w:themeColor="accent6"/>
          <w:sz w:val="20"/>
          <w:szCs w:val="20"/>
        </w:rPr>
        <w:t xml:space="preserve">. </w:t>
      </w:r>
    </w:p>
    <w:p w:rsidR="00E03BDD" w:rsidRPr="00893561" w:rsidRDefault="00E03BDD" w:rsidP="00975921">
      <w:pPr>
        <w:rPr>
          <w:sz w:val="20"/>
          <w:szCs w:val="20"/>
        </w:rPr>
      </w:pPr>
    </w:p>
    <w:p w:rsidR="00E03BDD" w:rsidRDefault="00E03BDD" w:rsidP="00975921">
      <w:pPr>
        <w:rPr>
          <w:color w:val="70AD47" w:themeColor="accent6"/>
          <w:sz w:val="20"/>
          <w:szCs w:val="20"/>
        </w:rPr>
      </w:pPr>
      <w:r w:rsidRPr="00893561">
        <w:rPr>
          <w:sz w:val="20"/>
          <w:szCs w:val="20"/>
        </w:rPr>
        <w:t xml:space="preserve">Information about the grading scheme used at UNE is available </w:t>
      </w:r>
      <w:hyperlink r:id="rId13" w:history="1">
        <w:r w:rsidRPr="00E03BDD">
          <w:rPr>
            <w:rStyle w:val="Hyperlink"/>
            <w:sz w:val="20"/>
            <w:szCs w:val="20"/>
          </w:rPr>
          <w:t>here</w:t>
        </w:r>
      </w:hyperlink>
    </w:p>
    <w:p w:rsidR="00E03BDD" w:rsidRDefault="00E03BDD" w:rsidP="00975921">
      <w:pPr>
        <w:rPr>
          <w:color w:val="70AD47" w:themeColor="accent6"/>
          <w:sz w:val="20"/>
          <w:szCs w:val="20"/>
        </w:rPr>
      </w:pPr>
    </w:p>
    <w:p w:rsidR="00E03BDD" w:rsidRPr="00893561" w:rsidRDefault="00E03BDD" w:rsidP="00975921">
      <w:pPr>
        <w:rPr>
          <w:sz w:val="20"/>
          <w:szCs w:val="20"/>
        </w:rPr>
      </w:pPr>
      <w:r w:rsidRPr="00893561">
        <w:rPr>
          <w:sz w:val="20"/>
          <w:szCs w:val="20"/>
        </w:rPr>
        <w:t>Clause 10 of the guideline outlines the volume of assessment for units:</w:t>
      </w:r>
    </w:p>
    <w:p w:rsidR="00E03BDD" w:rsidRPr="00893561" w:rsidRDefault="00E03BDD" w:rsidP="00975921">
      <w:pPr>
        <w:rPr>
          <w:i/>
          <w:sz w:val="20"/>
          <w:szCs w:val="20"/>
        </w:rPr>
      </w:pPr>
    </w:p>
    <w:p w:rsidR="00E03BDD" w:rsidRPr="00E03BDD" w:rsidRDefault="00E03BDD" w:rsidP="00E03BDD">
      <w:pPr>
        <w:shd w:val="clear" w:color="auto" w:fill="FFFFFF"/>
        <w:textAlignment w:val="baseline"/>
        <w:rPr>
          <w:rFonts w:eastAsia="Times New Roman" w:cs="Tahoma"/>
          <w:i/>
          <w:color w:val="000000"/>
          <w:sz w:val="20"/>
          <w:szCs w:val="20"/>
          <w:lang w:eastAsia="en-AU"/>
        </w:rPr>
      </w:pPr>
      <w:r w:rsidRPr="00893561">
        <w:rPr>
          <w:rFonts w:eastAsia="Times New Roman" w:cs="Tahoma"/>
          <w:i/>
          <w:sz w:val="20"/>
          <w:szCs w:val="20"/>
          <w:bdr w:val="none" w:sz="0" w:space="0" w:color="auto" w:frame="1"/>
          <w:lang w:eastAsia="en-AU"/>
        </w:rPr>
        <w:t>(</w:t>
      </w:r>
      <w:proofErr w:type="gramStart"/>
      <w:r w:rsidRPr="00893561">
        <w:rPr>
          <w:rFonts w:eastAsia="Times New Roman" w:cs="Tahoma"/>
          <w:i/>
          <w:sz w:val="20"/>
          <w:szCs w:val="20"/>
          <w:bdr w:val="none" w:sz="0" w:space="0" w:color="auto" w:frame="1"/>
          <w:lang w:eastAsia="en-AU"/>
        </w:rPr>
        <w:t>10)</w:t>
      </w:r>
      <w:r w:rsidRPr="00893561">
        <w:rPr>
          <w:rFonts w:eastAsia="Times New Roman" w:cs="Tahoma"/>
          <w:i/>
          <w:sz w:val="20"/>
          <w:szCs w:val="20"/>
          <w:lang w:eastAsia="en-AU"/>
        </w:rPr>
        <w:t>The</w:t>
      </w:r>
      <w:proofErr w:type="gramEnd"/>
      <w:r w:rsidRPr="00893561">
        <w:rPr>
          <w:rFonts w:eastAsia="Times New Roman" w:cs="Tahoma"/>
          <w:i/>
          <w:sz w:val="20"/>
          <w:szCs w:val="20"/>
          <w:lang w:eastAsia="en-AU"/>
        </w:rPr>
        <w:t xml:space="preserve"> </w:t>
      </w:r>
      <w:r w:rsidRPr="00E03BDD">
        <w:rPr>
          <w:rFonts w:eastAsia="Times New Roman" w:cs="Tahoma"/>
          <w:i/>
          <w:color w:val="000000"/>
          <w:sz w:val="20"/>
          <w:szCs w:val="20"/>
          <w:lang w:eastAsia="en-AU"/>
        </w:rPr>
        <w:t>following applies to the volume of assessment:</w:t>
      </w:r>
    </w:p>
    <w:p w:rsidR="00E03BDD" w:rsidRPr="00E03BDD" w:rsidRDefault="00E03BDD" w:rsidP="00E03BDD">
      <w:pPr>
        <w:numPr>
          <w:ilvl w:val="0"/>
          <w:numId w:val="6"/>
        </w:numPr>
        <w:spacing w:after="120"/>
        <w:ind w:left="1200"/>
        <w:textAlignment w:val="baseline"/>
        <w:rPr>
          <w:rFonts w:eastAsia="Times New Roman" w:cs="Tahoma"/>
          <w:i/>
          <w:color w:val="000000"/>
          <w:sz w:val="20"/>
          <w:szCs w:val="20"/>
          <w:lang w:eastAsia="en-AU"/>
        </w:rPr>
      </w:pPr>
      <w:r w:rsidRPr="00E03BDD">
        <w:rPr>
          <w:rFonts w:eastAsia="Times New Roman" w:cs="Tahoma"/>
          <w:i/>
          <w:color w:val="000000"/>
          <w:sz w:val="20"/>
          <w:szCs w:val="20"/>
          <w:lang w:eastAsia="en-AU"/>
        </w:rPr>
        <w:t xml:space="preserve">The maximum word limits for a </w:t>
      </w:r>
      <w:proofErr w:type="gramStart"/>
      <w:r w:rsidRPr="00E03BDD">
        <w:rPr>
          <w:rFonts w:eastAsia="Times New Roman" w:cs="Tahoma"/>
          <w:i/>
          <w:color w:val="000000"/>
          <w:sz w:val="20"/>
          <w:szCs w:val="20"/>
          <w:lang w:eastAsia="en-AU"/>
        </w:rPr>
        <w:t>six credit</w:t>
      </w:r>
      <w:proofErr w:type="gramEnd"/>
      <w:r w:rsidRPr="00E03BDD">
        <w:rPr>
          <w:rFonts w:eastAsia="Times New Roman" w:cs="Tahoma"/>
          <w:i/>
          <w:color w:val="000000"/>
          <w:sz w:val="20"/>
          <w:szCs w:val="20"/>
          <w:lang w:eastAsia="en-AU"/>
        </w:rPr>
        <w:t xml:space="preserve"> point unit where the assessment tasks are predominately written are:</w:t>
      </w:r>
    </w:p>
    <w:p w:rsidR="00E03BDD" w:rsidRPr="00E03BDD" w:rsidRDefault="00E03BDD" w:rsidP="00E03BDD">
      <w:pPr>
        <w:numPr>
          <w:ilvl w:val="1"/>
          <w:numId w:val="6"/>
        </w:numPr>
        <w:spacing w:after="120"/>
        <w:ind w:left="1920"/>
        <w:textAlignment w:val="baseline"/>
        <w:rPr>
          <w:rFonts w:eastAsia="Times New Roman" w:cs="Tahoma"/>
          <w:i/>
          <w:color w:val="000000"/>
          <w:sz w:val="20"/>
          <w:szCs w:val="20"/>
          <w:lang w:eastAsia="en-AU"/>
        </w:rPr>
      </w:pPr>
      <w:r w:rsidRPr="00E03BDD">
        <w:rPr>
          <w:rFonts w:eastAsia="Times New Roman" w:cs="Tahoma"/>
          <w:i/>
          <w:color w:val="000000"/>
          <w:sz w:val="20"/>
          <w:szCs w:val="20"/>
          <w:lang w:eastAsia="en-AU"/>
        </w:rPr>
        <w:t>100 level units – 5000 words;</w:t>
      </w:r>
    </w:p>
    <w:p w:rsidR="00E03BDD" w:rsidRPr="00E03BDD" w:rsidRDefault="00E03BDD" w:rsidP="00E03BDD">
      <w:pPr>
        <w:numPr>
          <w:ilvl w:val="1"/>
          <w:numId w:val="6"/>
        </w:numPr>
        <w:spacing w:after="120"/>
        <w:ind w:left="1920"/>
        <w:textAlignment w:val="baseline"/>
        <w:rPr>
          <w:rFonts w:eastAsia="Times New Roman" w:cs="Tahoma"/>
          <w:i/>
          <w:color w:val="000000"/>
          <w:sz w:val="20"/>
          <w:szCs w:val="20"/>
          <w:lang w:eastAsia="en-AU"/>
        </w:rPr>
      </w:pPr>
      <w:r w:rsidRPr="00E03BDD">
        <w:rPr>
          <w:rFonts w:eastAsia="Times New Roman" w:cs="Tahoma"/>
          <w:i/>
          <w:color w:val="000000"/>
          <w:sz w:val="20"/>
          <w:szCs w:val="20"/>
          <w:lang w:eastAsia="en-AU"/>
        </w:rPr>
        <w:t>200, 300 or 400 level units – 6000 words; and</w:t>
      </w:r>
    </w:p>
    <w:p w:rsidR="00E03BDD" w:rsidRPr="00E03BDD" w:rsidRDefault="00E03BDD" w:rsidP="00E03BDD">
      <w:pPr>
        <w:numPr>
          <w:ilvl w:val="1"/>
          <w:numId w:val="6"/>
        </w:numPr>
        <w:spacing w:after="120"/>
        <w:ind w:left="1920"/>
        <w:textAlignment w:val="baseline"/>
        <w:rPr>
          <w:rFonts w:eastAsia="Times New Roman" w:cs="Tahoma"/>
          <w:i/>
          <w:color w:val="000000"/>
          <w:sz w:val="20"/>
          <w:szCs w:val="20"/>
          <w:lang w:eastAsia="en-AU"/>
        </w:rPr>
      </w:pPr>
      <w:r w:rsidRPr="00E03BDD">
        <w:rPr>
          <w:rFonts w:eastAsia="Times New Roman" w:cs="Tahoma"/>
          <w:i/>
          <w:color w:val="000000"/>
          <w:sz w:val="20"/>
          <w:szCs w:val="20"/>
          <w:lang w:eastAsia="en-AU"/>
        </w:rPr>
        <w:t>500 level and higher units – 7500 words.</w:t>
      </w:r>
    </w:p>
    <w:p w:rsidR="00E03BDD" w:rsidRPr="00E03BDD" w:rsidRDefault="00E03BDD" w:rsidP="2F30E2DD">
      <w:pPr>
        <w:numPr>
          <w:ilvl w:val="0"/>
          <w:numId w:val="6"/>
        </w:numPr>
        <w:spacing w:after="120"/>
        <w:ind w:left="1200"/>
        <w:textAlignment w:val="baseline"/>
        <w:rPr>
          <w:rFonts w:eastAsia="Times New Roman" w:cs="Tahoma"/>
          <w:i/>
          <w:iCs/>
          <w:color w:val="000000"/>
          <w:sz w:val="20"/>
          <w:szCs w:val="20"/>
          <w:lang w:eastAsia="en-AU"/>
        </w:rPr>
      </w:pPr>
      <w:r w:rsidRPr="2F30E2DD">
        <w:rPr>
          <w:rFonts w:eastAsia="Times New Roman" w:cs="Tahoma"/>
          <w:i/>
          <w:iCs/>
          <w:color w:val="000000" w:themeColor="text1"/>
          <w:sz w:val="20"/>
          <w:szCs w:val="20"/>
          <w:lang w:eastAsia="en-AU"/>
        </w:rPr>
        <w:t>A two</w:t>
      </w:r>
      <w:r w:rsidR="0FBF9539" w:rsidRPr="2F30E2DD">
        <w:rPr>
          <w:rFonts w:eastAsia="Times New Roman" w:cs="Tahoma"/>
          <w:i/>
          <w:iCs/>
          <w:color w:val="000000" w:themeColor="text1"/>
          <w:sz w:val="20"/>
          <w:szCs w:val="20"/>
          <w:lang w:eastAsia="en-AU"/>
        </w:rPr>
        <w:t>-</w:t>
      </w:r>
      <w:r w:rsidRPr="2F30E2DD">
        <w:rPr>
          <w:rFonts w:eastAsia="Times New Roman" w:cs="Tahoma"/>
          <w:i/>
          <w:iCs/>
          <w:color w:val="000000" w:themeColor="text1"/>
          <w:sz w:val="20"/>
          <w:szCs w:val="20"/>
          <w:lang w:eastAsia="en-AU"/>
        </w:rPr>
        <w:t>hour examination is equivalent to 2000 words.</w:t>
      </w:r>
    </w:p>
    <w:p w:rsidR="00E03BDD" w:rsidRPr="00E03BDD" w:rsidRDefault="00E03BDD" w:rsidP="00E03BDD">
      <w:pPr>
        <w:numPr>
          <w:ilvl w:val="0"/>
          <w:numId w:val="6"/>
        </w:numPr>
        <w:spacing w:after="120"/>
        <w:ind w:left="1200"/>
        <w:textAlignment w:val="baseline"/>
        <w:rPr>
          <w:rFonts w:eastAsia="Times New Roman" w:cs="Tahoma"/>
          <w:i/>
          <w:color w:val="000000"/>
          <w:sz w:val="20"/>
          <w:szCs w:val="20"/>
          <w:lang w:eastAsia="en-AU"/>
        </w:rPr>
      </w:pPr>
      <w:r w:rsidRPr="00E03BDD">
        <w:rPr>
          <w:rFonts w:eastAsia="Times New Roman" w:cs="Tahoma"/>
          <w:i/>
          <w:color w:val="000000"/>
          <w:sz w:val="20"/>
          <w:szCs w:val="20"/>
          <w:lang w:eastAsia="en-AU"/>
        </w:rPr>
        <w:t>A different limit may be approved through the unit approval process in the Course and Unit Design and Approval Guidelines.</w:t>
      </w:r>
    </w:p>
    <w:p w:rsidR="00E03BDD" w:rsidRDefault="00E03BDD" w:rsidP="00E03BDD">
      <w:pPr>
        <w:numPr>
          <w:ilvl w:val="0"/>
          <w:numId w:val="6"/>
        </w:numPr>
        <w:spacing w:after="120"/>
        <w:ind w:left="1200"/>
        <w:textAlignment w:val="baseline"/>
        <w:rPr>
          <w:rFonts w:eastAsia="Times New Roman" w:cs="Tahoma"/>
          <w:i/>
          <w:color w:val="000000"/>
          <w:sz w:val="20"/>
          <w:szCs w:val="20"/>
          <w:lang w:eastAsia="en-AU"/>
        </w:rPr>
      </w:pPr>
      <w:r w:rsidRPr="00E03BDD">
        <w:rPr>
          <w:rFonts w:eastAsia="Times New Roman" w:cs="Tahoma"/>
          <w:i/>
          <w:color w:val="000000"/>
          <w:sz w:val="20"/>
          <w:szCs w:val="20"/>
          <w:lang w:eastAsia="en-AU"/>
        </w:rPr>
        <w:t>These limits do not apply to assessment tasks for discipline-specific tasks (e.g. language proficiency, music notation or mathematics).</w:t>
      </w:r>
    </w:p>
    <w:p w:rsidR="00E03BDD" w:rsidRDefault="00E03BDD" w:rsidP="00E03BDD">
      <w:pPr>
        <w:spacing w:after="120"/>
        <w:textAlignment w:val="baseline"/>
        <w:rPr>
          <w:rFonts w:eastAsia="Times New Roman" w:cs="Tahoma"/>
          <w:i/>
          <w:color w:val="000000"/>
          <w:sz w:val="20"/>
          <w:szCs w:val="20"/>
          <w:lang w:eastAsia="en-AU"/>
        </w:rPr>
      </w:pPr>
    </w:p>
    <w:p w:rsidR="00E03BDD" w:rsidRPr="00E03BDD" w:rsidRDefault="00E03BDD" w:rsidP="00E03BDD">
      <w:pPr>
        <w:spacing w:after="120"/>
        <w:textAlignment w:val="baseline"/>
        <w:rPr>
          <w:rFonts w:eastAsia="Times New Roman" w:cs="Tahoma"/>
          <w:color w:val="000000"/>
          <w:sz w:val="20"/>
          <w:szCs w:val="20"/>
          <w:lang w:eastAsia="en-AU"/>
        </w:rPr>
      </w:pPr>
      <w:r>
        <w:rPr>
          <w:rFonts w:eastAsia="Times New Roman" w:cs="Tahoma"/>
          <w:color w:val="000000"/>
          <w:sz w:val="20"/>
          <w:szCs w:val="20"/>
          <w:lang w:eastAsia="en-AU"/>
        </w:rPr>
        <w:t xml:space="preserve">Guiding information on peer review of assessment and what is intended by each of the questions is available from </w:t>
      </w:r>
      <w:r w:rsidRPr="00E03BDD">
        <w:rPr>
          <w:rFonts w:eastAsia="Times New Roman" w:cs="Tahoma"/>
          <w:color w:val="000000"/>
          <w:sz w:val="20"/>
          <w:szCs w:val="20"/>
          <w:lang w:eastAsia="en-AU"/>
        </w:rPr>
        <w:t xml:space="preserve">Wilson, G., Bedford, S. B., &amp; </w:t>
      </w:r>
      <w:proofErr w:type="spellStart"/>
      <w:r w:rsidRPr="00E03BDD">
        <w:rPr>
          <w:rFonts w:eastAsia="Times New Roman" w:cs="Tahoma"/>
          <w:color w:val="000000"/>
          <w:sz w:val="20"/>
          <w:szCs w:val="20"/>
          <w:lang w:eastAsia="en-AU"/>
        </w:rPr>
        <w:t>Readman</w:t>
      </w:r>
      <w:proofErr w:type="spellEnd"/>
      <w:r w:rsidRPr="00E03BDD">
        <w:rPr>
          <w:rFonts w:eastAsia="Times New Roman" w:cs="Tahoma"/>
          <w:color w:val="000000"/>
          <w:sz w:val="20"/>
          <w:szCs w:val="20"/>
          <w:lang w:eastAsia="en-AU"/>
        </w:rPr>
        <w:t xml:space="preserve">, K. (2019). External Peer Review of Assessment: A Guide to Supporting the External Referencing of Academic Standards; accessed from </w:t>
      </w:r>
      <w:hyperlink r:id="rId14" w:history="1">
        <w:r w:rsidRPr="00E03BDD">
          <w:rPr>
            <w:rStyle w:val="Hyperlink"/>
            <w:rFonts w:eastAsia="Times New Roman" w:cs="Tahoma"/>
            <w:sz w:val="20"/>
            <w:szCs w:val="20"/>
            <w:lang w:eastAsia="en-AU"/>
          </w:rPr>
          <w:t>https://hdl.handle.net/1959.7/uws:53024</w:t>
        </w:r>
      </w:hyperlink>
    </w:p>
    <w:p w:rsidR="00E03BDD" w:rsidRDefault="00E03BDD" w:rsidP="00E03BDD">
      <w:pPr>
        <w:spacing w:after="120"/>
        <w:textAlignment w:val="baseline"/>
        <w:rPr>
          <w:rFonts w:ascii="Tahoma" w:eastAsia="Times New Roman" w:hAnsi="Tahoma" w:cs="Tahoma"/>
          <w:color w:val="000000"/>
          <w:lang w:eastAsia="en-AU"/>
        </w:rPr>
      </w:pPr>
    </w:p>
    <w:p w:rsidR="00E03BDD" w:rsidRPr="00E03BDD" w:rsidRDefault="00E03BDD" w:rsidP="00E03BDD">
      <w:pPr>
        <w:spacing w:after="120"/>
        <w:textAlignment w:val="baseline"/>
        <w:rPr>
          <w:rFonts w:ascii="Tahoma" w:eastAsia="Times New Roman" w:hAnsi="Tahoma" w:cs="Tahoma"/>
          <w:color w:val="000000"/>
          <w:lang w:eastAsia="en-AU"/>
        </w:rPr>
      </w:pPr>
    </w:p>
    <w:p w:rsidR="00E03BDD" w:rsidRPr="008A5CAE" w:rsidRDefault="00E03BDD" w:rsidP="00975921">
      <w:pPr>
        <w:rPr>
          <w:color w:val="70AD47" w:themeColor="accent6"/>
          <w:sz w:val="20"/>
          <w:szCs w:val="20"/>
        </w:rPr>
      </w:pPr>
    </w:p>
    <w:sectPr w:rsidR="00E03BDD" w:rsidRPr="008A5CAE" w:rsidSect="00A10D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E23B" w16cex:dateUtc="2021-02-26T10:10:00Z"/>
  <w16cex:commentExtensible w16cex:durableId="23E3E2D3" w16cex:dateUtc="2021-02-26T10:12:00Z"/>
  <w16cex:commentExtensible w16cex:durableId="23E3E278" w16cex:dateUtc="2021-02-26T10:11:00Z"/>
  <w16cex:commentExtensible w16cex:durableId="23E3E44C" w16cex:dateUtc="2021-02-26T1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3F" w:rsidRDefault="00874B3F">
      <w:r>
        <w:separator/>
      </w:r>
    </w:p>
  </w:endnote>
  <w:endnote w:type="continuationSeparator" w:id="0">
    <w:p w:rsidR="00874B3F" w:rsidRDefault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66" w:rsidRDefault="008B1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204477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B66" w:rsidRPr="00F673C5" w:rsidRDefault="008B1B66" w:rsidP="005C3532">
        <w:pPr>
          <w:pStyle w:val="Footer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F673C5">
          <w:rPr>
            <w:sz w:val="16"/>
            <w:szCs w:val="16"/>
          </w:rPr>
          <w:fldChar w:fldCharType="begin"/>
        </w:r>
        <w:r w:rsidRPr="00F673C5">
          <w:rPr>
            <w:sz w:val="16"/>
            <w:szCs w:val="16"/>
          </w:rPr>
          <w:instrText xml:space="preserve"> PAGE   \* MERGEFORMAT </w:instrText>
        </w:r>
        <w:r w:rsidRPr="00F673C5">
          <w:rPr>
            <w:sz w:val="16"/>
            <w:szCs w:val="16"/>
          </w:rPr>
          <w:fldChar w:fldCharType="separate"/>
        </w:r>
        <w:r w:rsidR="0013074F">
          <w:rPr>
            <w:noProof/>
            <w:sz w:val="16"/>
            <w:szCs w:val="16"/>
          </w:rPr>
          <w:t>3</w:t>
        </w:r>
        <w:r w:rsidRPr="00F673C5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66" w:rsidRDefault="008B1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3F" w:rsidRDefault="00874B3F">
      <w:r>
        <w:separator/>
      </w:r>
    </w:p>
  </w:footnote>
  <w:footnote w:type="continuationSeparator" w:id="0">
    <w:p w:rsidR="00874B3F" w:rsidRDefault="00874B3F">
      <w:r>
        <w:continuationSeparator/>
      </w:r>
    </w:p>
  </w:footnote>
  <w:footnote w:id="1">
    <w:p w:rsidR="008B1B66" w:rsidRDefault="008B1B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06A6">
        <w:t xml:space="preserve">Wilson, G., Bedford, S. B., &amp; </w:t>
      </w:r>
      <w:proofErr w:type="spellStart"/>
      <w:r w:rsidRPr="004E06A6">
        <w:t>Readman</w:t>
      </w:r>
      <w:proofErr w:type="spellEnd"/>
      <w:r w:rsidRPr="004E06A6">
        <w:t>, K. (2019). External Peer Review of Assessment: A Guide to Supporting the External Referencing of Academic Standards</w:t>
      </w:r>
      <w:r>
        <w:t xml:space="preserve">; accessed from </w:t>
      </w:r>
      <w:hyperlink r:id="rId1" w:history="1">
        <w:r w:rsidRPr="004E06A6">
          <w:rPr>
            <w:rStyle w:val="Hyperlink"/>
          </w:rPr>
          <w:t>https://hdl.handle.net/1959.7/uws:53024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66" w:rsidRDefault="00874B3F" w:rsidP="00446C98">
    <w:pPr>
      <w:pStyle w:val="Header"/>
    </w:pPr>
    <w:sdt>
      <w:sdtPr>
        <w:id w:val="-1140419192"/>
        <w:temporary/>
        <w:showingPlcHdr/>
      </w:sdtPr>
      <w:sdtEndPr/>
      <w:sdtContent>
        <w:r w:rsidR="008B1B66">
          <w:t>[Type text]</w:t>
        </w:r>
      </w:sdtContent>
    </w:sdt>
    <w:r w:rsidR="008B1B66">
      <w:ptab w:relativeTo="margin" w:alignment="center" w:leader="none"/>
    </w:r>
    <w:sdt>
      <w:sdtPr>
        <w:id w:val="-342171015"/>
        <w:temporary/>
        <w:showingPlcHdr/>
      </w:sdtPr>
      <w:sdtEndPr/>
      <w:sdtContent>
        <w:r w:rsidR="008B1B66">
          <w:t>[Type text]</w:t>
        </w:r>
      </w:sdtContent>
    </w:sdt>
    <w:r w:rsidR="008B1B66">
      <w:ptab w:relativeTo="margin" w:alignment="right" w:leader="none"/>
    </w:r>
    <w:sdt>
      <w:sdtPr>
        <w:id w:val="-1497573703"/>
        <w:temporary/>
        <w:showingPlcHdr/>
      </w:sdtPr>
      <w:sdtEndPr/>
      <w:sdtContent>
        <w:r w:rsidR="008B1B66">
          <w:t>[Type text]</w:t>
        </w:r>
      </w:sdtContent>
    </w:sdt>
  </w:p>
  <w:p w:rsidR="008B1B66" w:rsidRDefault="008B1B66" w:rsidP="00446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66" w:rsidRPr="00D56618" w:rsidRDefault="008B1B66" w:rsidP="00D56618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Peer Review of Assessment and Grading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66" w:rsidRDefault="008B1B6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2716552" wp14:editId="6348CDF5">
          <wp:simplePos x="0" y="0"/>
          <wp:positionH relativeFrom="column">
            <wp:posOffset>5219700</wp:posOffset>
          </wp:positionH>
          <wp:positionV relativeFrom="paragraph">
            <wp:posOffset>-459105</wp:posOffset>
          </wp:positionV>
          <wp:extent cx="689247" cy="689247"/>
          <wp:effectExtent l="0" t="0" r="0" b="0"/>
          <wp:wrapNone/>
          <wp:docPr id="12" name="Picture 12" descr="UNE SOE:Users:secrew:Dropbox:UN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SOE:Users:secrew:Dropbox:UN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47" cy="68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63F"/>
    <w:multiLevelType w:val="hybridMultilevel"/>
    <w:tmpl w:val="267A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368"/>
    <w:multiLevelType w:val="multilevel"/>
    <w:tmpl w:val="22A097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420" w:hanging="576"/>
      </w:p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D4A5FF3"/>
    <w:multiLevelType w:val="multilevel"/>
    <w:tmpl w:val="EDFA3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03BE0"/>
    <w:multiLevelType w:val="multilevel"/>
    <w:tmpl w:val="A696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C47C9"/>
    <w:multiLevelType w:val="multilevel"/>
    <w:tmpl w:val="A6FEC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C5B69"/>
    <w:multiLevelType w:val="multilevel"/>
    <w:tmpl w:val="415CC7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D5"/>
    <w:rsid w:val="00030486"/>
    <w:rsid w:val="000414AC"/>
    <w:rsid w:val="0004275C"/>
    <w:rsid w:val="00051332"/>
    <w:rsid w:val="00053922"/>
    <w:rsid w:val="00060BD8"/>
    <w:rsid w:val="00062FD2"/>
    <w:rsid w:val="00070894"/>
    <w:rsid w:val="00072097"/>
    <w:rsid w:val="00096F79"/>
    <w:rsid w:val="00097302"/>
    <w:rsid w:val="000A69D3"/>
    <w:rsid w:val="000B1C7F"/>
    <w:rsid w:val="000B6C30"/>
    <w:rsid w:val="000C15BA"/>
    <w:rsid w:val="000C510B"/>
    <w:rsid w:val="000F04CD"/>
    <w:rsid w:val="000F1183"/>
    <w:rsid w:val="00115EAD"/>
    <w:rsid w:val="0013074F"/>
    <w:rsid w:val="0014051D"/>
    <w:rsid w:val="00145A2E"/>
    <w:rsid w:val="00153570"/>
    <w:rsid w:val="00153827"/>
    <w:rsid w:val="00156575"/>
    <w:rsid w:val="001745E1"/>
    <w:rsid w:val="001752D2"/>
    <w:rsid w:val="00175515"/>
    <w:rsid w:val="001B22F3"/>
    <w:rsid w:val="001C117A"/>
    <w:rsid w:val="001D7D67"/>
    <w:rsid w:val="001F1D11"/>
    <w:rsid w:val="002043F4"/>
    <w:rsid w:val="0020797C"/>
    <w:rsid w:val="00234397"/>
    <w:rsid w:val="00234CA5"/>
    <w:rsid w:val="0024511C"/>
    <w:rsid w:val="002457B3"/>
    <w:rsid w:val="00263E7F"/>
    <w:rsid w:val="0026439B"/>
    <w:rsid w:val="00265C32"/>
    <w:rsid w:val="0027146B"/>
    <w:rsid w:val="00281A06"/>
    <w:rsid w:val="00287CFB"/>
    <w:rsid w:val="002C2F80"/>
    <w:rsid w:val="002C3842"/>
    <w:rsid w:val="002F6ABA"/>
    <w:rsid w:val="002F6B77"/>
    <w:rsid w:val="00305A0A"/>
    <w:rsid w:val="003068CD"/>
    <w:rsid w:val="00311710"/>
    <w:rsid w:val="00320225"/>
    <w:rsid w:val="00325A51"/>
    <w:rsid w:val="00326A21"/>
    <w:rsid w:val="00350BD2"/>
    <w:rsid w:val="00354C0E"/>
    <w:rsid w:val="00357C3F"/>
    <w:rsid w:val="0037445C"/>
    <w:rsid w:val="00384010"/>
    <w:rsid w:val="00384F19"/>
    <w:rsid w:val="0039555C"/>
    <w:rsid w:val="00395A34"/>
    <w:rsid w:val="003B0378"/>
    <w:rsid w:val="003D6098"/>
    <w:rsid w:val="003D6915"/>
    <w:rsid w:val="003E61FF"/>
    <w:rsid w:val="00405064"/>
    <w:rsid w:val="00420D5E"/>
    <w:rsid w:val="00426447"/>
    <w:rsid w:val="00446046"/>
    <w:rsid w:val="00446C98"/>
    <w:rsid w:val="004600A3"/>
    <w:rsid w:val="00460AD9"/>
    <w:rsid w:val="00494077"/>
    <w:rsid w:val="004A00FD"/>
    <w:rsid w:val="004B18B2"/>
    <w:rsid w:val="004B50F8"/>
    <w:rsid w:val="004B661A"/>
    <w:rsid w:val="004C04AB"/>
    <w:rsid w:val="004C3068"/>
    <w:rsid w:val="004D4CD5"/>
    <w:rsid w:val="004D7857"/>
    <w:rsid w:val="004E06A6"/>
    <w:rsid w:val="004E1079"/>
    <w:rsid w:val="004E231E"/>
    <w:rsid w:val="004F02CC"/>
    <w:rsid w:val="005107EE"/>
    <w:rsid w:val="00517F32"/>
    <w:rsid w:val="005330D0"/>
    <w:rsid w:val="005413F4"/>
    <w:rsid w:val="005447A2"/>
    <w:rsid w:val="00554536"/>
    <w:rsid w:val="0055630C"/>
    <w:rsid w:val="005576D8"/>
    <w:rsid w:val="00571BA4"/>
    <w:rsid w:val="00572FCD"/>
    <w:rsid w:val="0057620F"/>
    <w:rsid w:val="00577935"/>
    <w:rsid w:val="00581A68"/>
    <w:rsid w:val="00582F17"/>
    <w:rsid w:val="005A2946"/>
    <w:rsid w:val="005A3C5B"/>
    <w:rsid w:val="005A77C1"/>
    <w:rsid w:val="005B1641"/>
    <w:rsid w:val="005B53AF"/>
    <w:rsid w:val="005C3532"/>
    <w:rsid w:val="005C53D5"/>
    <w:rsid w:val="005E3143"/>
    <w:rsid w:val="005E3D85"/>
    <w:rsid w:val="005E5842"/>
    <w:rsid w:val="005F4812"/>
    <w:rsid w:val="00630A95"/>
    <w:rsid w:val="006371D8"/>
    <w:rsid w:val="00640CDA"/>
    <w:rsid w:val="00642B43"/>
    <w:rsid w:val="00650690"/>
    <w:rsid w:val="00654169"/>
    <w:rsid w:val="00661F23"/>
    <w:rsid w:val="00662FC6"/>
    <w:rsid w:val="006656DA"/>
    <w:rsid w:val="00670B75"/>
    <w:rsid w:val="00676BE4"/>
    <w:rsid w:val="00682182"/>
    <w:rsid w:val="00684FD6"/>
    <w:rsid w:val="00685E37"/>
    <w:rsid w:val="0068644F"/>
    <w:rsid w:val="006A4BB1"/>
    <w:rsid w:val="006B63BD"/>
    <w:rsid w:val="006B6CCB"/>
    <w:rsid w:val="006D0AD5"/>
    <w:rsid w:val="006D6DD8"/>
    <w:rsid w:val="006E00D0"/>
    <w:rsid w:val="0070600A"/>
    <w:rsid w:val="0072769A"/>
    <w:rsid w:val="007305CD"/>
    <w:rsid w:val="007377D5"/>
    <w:rsid w:val="00743174"/>
    <w:rsid w:val="00752444"/>
    <w:rsid w:val="00756A60"/>
    <w:rsid w:val="007627D9"/>
    <w:rsid w:val="00783D35"/>
    <w:rsid w:val="00785043"/>
    <w:rsid w:val="007A0B95"/>
    <w:rsid w:val="007A3E85"/>
    <w:rsid w:val="007A40B2"/>
    <w:rsid w:val="007A6541"/>
    <w:rsid w:val="007E3305"/>
    <w:rsid w:val="007F6B92"/>
    <w:rsid w:val="0082421D"/>
    <w:rsid w:val="00854EE0"/>
    <w:rsid w:val="00862586"/>
    <w:rsid w:val="00863BA8"/>
    <w:rsid w:val="00864F0A"/>
    <w:rsid w:val="008651EE"/>
    <w:rsid w:val="0087123F"/>
    <w:rsid w:val="00874B3F"/>
    <w:rsid w:val="00875A58"/>
    <w:rsid w:val="00875DA8"/>
    <w:rsid w:val="00876BF1"/>
    <w:rsid w:val="00893561"/>
    <w:rsid w:val="008A19E2"/>
    <w:rsid w:val="008A3950"/>
    <w:rsid w:val="008A5CAE"/>
    <w:rsid w:val="008B1B66"/>
    <w:rsid w:val="008B5E38"/>
    <w:rsid w:val="008B6E3D"/>
    <w:rsid w:val="008D1DB8"/>
    <w:rsid w:val="008E111F"/>
    <w:rsid w:val="008E2A22"/>
    <w:rsid w:val="008F1F5D"/>
    <w:rsid w:val="008F500F"/>
    <w:rsid w:val="008F593C"/>
    <w:rsid w:val="008F6060"/>
    <w:rsid w:val="00924868"/>
    <w:rsid w:val="00927E8A"/>
    <w:rsid w:val="00956435"/>
    <w:rsid w:val="009567A4"/>
    <w:rsid w:val="00956D61"/>
    <w:rsid w:val="00960A96"/>
    <w:rsid w:val="0096190E"/>
    <w:rsid w:val="0096723F"/>
    <w:rsid w:val="00975921"/>
    <w:rsid w:val="00980C65"/>
    <w:rsid w:val="0098268B"/>
    <w:rsid w:val="0099143C"/>
    <w:rsid w:val="009D08AA"/>
    <w:rsid w:val="009D325B"/>
    <w:rsid w:val="009D40CF"/>
    <w:rsid w:val="009D7060"/>
    <w:rsid w:val="009E6787"/>
    <w:rsid w:val="009F069F"/>
    <w:rsid w:val="00A039AF"/>
    <w:rsid w:val="00A07B53"/>
    <w:rsid w:val="00A10D23"/>
    <w:rsid w:val="00A16526"/>
    <w:rsid w:val="00A26D87"/>
    <w:rsid w:val="00A32C4B"/>
    <w:rsid w:val="00A40E21"/>
    <w:rsid w:val="00A562E1"/>
    <w:rsid w:val="00A73CB4"/>
    <w:rsid w:val="00A774C3"/>
    <w:rsid w:val="00A83336"/>
    <w:rsid w:val="00A96467"/>
    <w:rsid w:val="00AB67C8"/>
    <w:rsid w:val="00AC636F"/>
    <w:rsid w:val="00AE3C93"/>
    <w:rsid w:val="00AE5D8C"/>
    <w:rsid w:val="00B107FB"/>
    <w:rsid w:val="00B25234"/>
    <w:rsid w:val="00B3045D"/>
    <w:rsid w:val="00B31FC7"/>
    <w:rsid w:val="00B420A2"/>
    <w:rsid w:val="00B42222"/>
    <w:rsid w:val="00B4254B"/>
    <w:rsid w:val="00B9012F"/>
    <w:rsid w:val="00B94200"/>
    <w:rsid w:val="00BA1A44"/>
    <w:rsid w:val="00BB2A70"/>
    <w:rsid w:val="00BC67A2"/>
    <w:rsid w:val="00BE11CA"/>
    <w:rsid w:val="00BF48CD"/>
    <w:rsid w:val="00C211E4"/>
    <w:rsid w:val="00C3040A"/>
    <w:rsid w:val="00C342D4"/>
    <w:rsid w:val="00C4301E"/>
    <w:rsid w:val="00C4413D"/>
    <w:rsid w:val="00C45E93"/>
    <w:rsid w:val="00C460E9"/>
    <w:rsid w:val="00C5101C"/>
    <w:rsid w:val="00C538F6"/>
    <w:rsid w:val="00C637E3"/>
    <w:rsid w:val="00C76067"/>
    <w:rsid w:val="00C83123"/>
    <w:rsid w:val="00CA7F5F"/>
    <w:rsid w:val="00CB65E4"/>
    <w:rsid w:val="00CC6194"/>
    <w:rsid w:val="00CE0B5F"/>
    <w:rsid w:val="00CE7149"/>
    <w:rsid w:val="00D041AA"/>
    <w:rsid w:val="00D10B23"/>
    <w:rsid w:val="00D1228B"/>
    <w:rsid w:val="00D31127"/>
    <w:rsid w:val="00D52B0A"/>
    <w:rsid w:val="00D56618"/>
    <w:rsid w:val="00D61AB5"/>
    <w:rsid w:val="00D62086"/>
    <w:rsid w:val="00D62253"/>
    <w:rsid w:val="00D809C8"/>
    <w:rsid w:val="00D9084C"/>
    <w:rsid w:val="00D90EA9"/>
    <w:rsid w:val="00DA2BD8"/>
    <w:rsid w:val="00DB2951"/>
    <w:rsid w:val="00DC0722"/>
    <w:rsid w:val="00DC421F"/>
    <w:rsid w:val="00DC454D"/>
    <w:rsid w:val="00DC7575"/>
    <w:rsid w:val="00DD6095"/>
    <w:rsid w:val="00DF17EE"/>
    <w:rsid w:val="00DF760B"/>
    <w:rsid w:val="00E0159F"/>
    <w:rsid w:val="00E03BDD"/>
    <w:rsid w:val="00E161F9"/>
    <w:rsid w:val="00E24199"/>
    <w:rsid w:val="00E27B63"/>
    <w:rsid w:val="00E305D9"/>
    <w:rsid w:val="00E432DA"/>
    <w:rsid w:val="00E517A1"/>
    <w:rsid w:val="00E578E5"/>
    <w:rsid w:val="00E62374"/>
    <w:rsid w:val="00E7193C"/>
    <w:rsid w:val="00E777B6"/>
    <w:rsid w:val="00E958FB"/>
    <w:rsid w:val="00EA575F"/>
    <w:rsid w:val="00EB300F"/>
    <w:rsid w:val="00EC0CD4"/>
    <w:rsid w:val="00EC787A"/>
    <w:rsid w:val="00EC7EB7"/>
    <w:rsid w:val="00ED7DCD"/>
    <w:rsid w:val="00EF786F"/>
    <w:rsid w:val="00F1317F"/>
    <w:rsid w:val="00F23653"/>
    <w:rsid w:val="00F27125"/>
    <w:rsid w:val="00F318F0"/>
    <w:rsid w:val="00F3652B"/>
    <w:rsid w:val="00F370A8"/>
    <w:rsid w:val="00F50C05"/>
    <w:rsid w:val="00F55A82"/>
    <w:rsid w:val="00F57805"/>
    <w:rsid w:val="00F86BFC"/>
    <w:rsid w:val="00FA04D3"/>
    <w:rsid w:val="00FA1007"/>
    <w:rsid w:val="00FA3621"/>
    <w:rsid w:val="00FB6FD7"/>
    <w:rsid w:val="00FC6BFD"/>
    <w:rsid w:val="00FF6D90"/>
    <w:rsid w:val="0FBF9539"/>
    <w:rsid w:val="2F30E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89A70"/>
  <w15:docId w15:val="{4FFCFBAD-93AB-4AEA-9F2E-9F08C5B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21"/>
    <w:pPr>
      <w:spacing w:after="0" w:line="240" w:lineRule="auto"/>
    </w:pPr>
    <w:rPr>
      <w:rFonts w:ascii="Lucida Sans" w:eastAsiaTheme="minorEastAsia" w:hAnsi="Lucida San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377D5"/>
    <w:pPr>
      <w:numPr>
        <w:numId w:val="1"/>
      </w:numPr>
      <w:spacing w:before="22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7D5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7D5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77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7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7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7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7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7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7D5"/>
    <w:rPr>
      <w:rFonts w:ascii="Lucida Sans" w:eastAsiaTheme="minorEastAsia" w:hAnsi="Lucida Sans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7377D5"/>
    <w:rPr>
      <w:rFonts w:ascii="Lucida Sans" w:eastAsiaTheme="majorEastAsia" w:hAnsi="Lucida Sans" w:cstheme="majorBidi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7377D5"/>
    <w:rPr>
      <w:rFonts w:ascii="Lucida Sans" w:eastAsiaTheme="majorEastAsia" w:hAnsi="Lucida Sans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7377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7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7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7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7D5"/>
    <w:rPr>
      <w:rFonts w:ascii="Lucida Sans" w:eastAsiaTheme="minorEastAsia" w:hAnsi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7377D5"/>
    <w:pPr>
      <w:pBdr>
        <w:bottom w:val="single" w:sz="4" w:space="4" w:color="auto"/>
      </w:pBdr>
      <w:spacing w:after="300"/>
      <w:contextualSpacing/>
      <w:jc w:val="center"/>
    </w:pPr>
    <w:rPr>
      <w:rFonts w:ascii="Avenir Next Regular" w:eastAsiaTheme="majorEastAsia" w:hAnsi="Avenir Next Regular" w:cstheme="majorBidi"/>
      <w:b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377D5"/>
    <w:rPr>
      <w:rFonts w:ascii="Avenir Next Regular" w:eastAsiaTheme="majorEastAsia" w:hAnsi="Avenir Next Regular" w:cstheme="majorBidi"/>
      <w:b/>
      <w:spacing w:val="5"/>
      <w:kern w:val="28"/>
      <w:sz w:val="40"/>
      <w:szCs w:val="40"/>
    </w:rPr>
  </w:style>
  <w:style w:type="table" w:styleId="TableGrid">
    <w:name w:val="Table Grid"/>
    <w:basedOn w:val="TableNormal"/>
    <w:uiPriority w:val="59"/>
    <w:rsid w:val="007377D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7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7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7D5"/>
    <w:rPr>
      <w:rFonts w:ascii="Lucida Sans" w:eastAsiaTheme="minorEastAsia" w:hAnsi="Lucida Sans"/>
      <w:sz w:val="20"/>
      <w:szCs w:val="20"/>
    </w:rPr>
  </w:style>
  <w:style w:type="character" w:styleId="SubtleEmphasis">
    <w:name w:val="Subtle Emphasis"/>
    <w:uiPriority w:val="19"/>
    <w:qFormat/>
    <w:rsid w:val="007377D5"/>
    <w:rPr>
      <w:i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377D5"/>
    <w:rPr>
      <w:i/>
      <w:iCs/>
      <w:color w:val="5B9BD5" w:themeColor="accen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D5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37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85"/>
    <w:rPr>
      <w:rFonts w:ascii="Lucida Sans" w:eastAsiaTheme="minorEastAsia" w:hAnsi="Lucida Sans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2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4B"/>
    <w:rPr>
      <w:rFonts w:ascii="Lucida Sans" w:eastAsiaTheme="minorEastAsia" w:hAnsi="Lucida Sans"/>
    </w:rPr>
  </w:style>
  <w:style w:type="paragraph" w:styleId="Revision">
    <w:name w:val="Revision"/>
    <w:hidden/>
    <w:uiPriority w:val="99"/>
    <w:semiHidden/>
    <w:rsid w:val="00145A2E"/>
    <w:pPr>
      <w:spacing w:after="0" w:line="240" w:lineRule="auto"/>
    </w:pPr>
    <w:rPr>
      <w:rFonts w:ascii="Lucida Sans" w:eastAsiaTheme="minorEastAsia" w:hAnsi="Lucida San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C6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565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56575"/>
  </w:style>
  <w:style w:type="character" w:customStyle="1" w:styleId="eop">
    <w:name w:val="eop"/>
    <w:basedOn w:val="DefaultParagraphFont"/>
    <w:rsid w:val="0015657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0B5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6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6A6"/>
    <w:rPr>
      <w:rFonts w:ascii="Lucida Sans" w:eastAsiaTheme="minorEastAsia" w:hAnsi="Lucida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6A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03B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3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numerate">
    <w:name w:val="enumerate"/>
    <w:basedOn w:val="DefaultParagraphFont"/>
    <w:rsid w:val="00E0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icies.une.edu.au/download.php?id=513&amp;version=1&amp;associated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policies.une.edu.au/view.current.php?id=0029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dl.handle.net/1959.7/uws:53024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dl.handle.net/1959.7/uws:5302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37D05BA731D46952288E60DB296C6" ma:contentTypeVersion="6" ma:contentTypeDescription="Create a new document." ma:contentTypeScope="" ma:versionID="ffe19f9c490f3e9d0ef4ce30b73d9a2c">
  <xsd:schema xmlns:xsd="http://www.w3.org/2001/XMLSchema" xmlns:xs="http://www.w3.org/2001/XMLSchema" xmlns:p="http://schemas.microsoft.com/office/2006/metadata/properties" xmlns:ns2="358c5514-9976-47e2-8842-8e30049fc627" targetNamespace="http://schemas.microsoft.com/office/2006/metadata/properties" ma:root="true" ma:fieldsID="11d882897f72197f9f12d97cca92c7e9" ns2:_="">
    <xsd:import namespace="358c5514-9976-47e2-8842-8e30049fc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5514-9976-47e2-8842-8e30049fc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3B6C-949C-4835-B237-A974F34FC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918AD-D28C-4450-9328-3F9BD9766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A74BD-1239-48AB-AAD6-6695E3084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5514-9976-47e2-8842-8e30049fc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45CC7-974B-4E4D-B68D-50FF92DB27E2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1B8C8F5E-4470-4A33-B455-AF5451BC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 van der Lee</dc:creator>
  <cp:keywords/>
  <dc:description/>
  <cp:lastModifiedBy>Bridget Doran</cp:lastModifiedBy>
  <cp:revision>1</cp:revision>
  <cp:lastPrinted>2017-03-13T04:18:00Z</cp:lastPrinted>
  <dcterms:created xsi:type="dcterms:W3CDTF">2021-06-29T00:59:00Z</dcterms:created>
  <dcterms:modified xsi:type="dcterms:W3CDTF">2021-06-29T00:59:00Z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0x010100CC837D05BA731D46952288E60DB296C6</vt:lpwstr>
  </property>
</Properties>
</file>