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Default="00667047" w:rsidP="00036CAC">
      <w:pPr>
        <w:jc w:val="both"/>
      </w:pPr>
    </w:p>
    <w:p w:rsidR="00036CAC" w:rsidRPr="00FF0D64" w:rsidRDefault="00044299" w:rsidP="00FF0D64">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113" w:right="340"/>
        <w:jc w:val="both"/>
      </w:pPr>
      <w:r>
        <w:t>This plan is enacted when</w:t>
      </w:r>
      <w:r w:rsidR="00036CAC" w:rsidRPr="00FF0D64">
        <w:t xml:space="preserve"> </w:t>
      </w:r>
      <w:r>
        <w:t>a</w:t>
      </w:r>
      <w:r w:rsidR="00036CAC" w:rsidRPr="00FF0D64">
        <w:t xml:space="preserve"> </w:t>
      </w:r>
      <w:r w:rsidR="00966131" w:rsidRPr="00FF0D64">
        <w:rPr>
          <w:b/>
          <w:color w:val="FF0000"/>
        </w:rPr>
        <w:t>MOTOR VEHICLE ACCIDENT (MVA)/AIRCRAFT ACCIDENT</w:t>
      </w:r>
      <w:r w:rsidR="00036CAC" w:rsidRPr="00FF0D64">
        <w:rPr>
          <w:color w:val="FF0000"/>
        </w:rPr>
        <w:t xml:space="preserve"> </w:t>
      </w:r>
      <w:r w:rsidRPr="00044299">
        <w:t xml:space="preserve">situation </w:t>
      </w:r>
      <w:r w:rsidR="00036CAC" w:rsidRPr="00044299">
        <w:t xml:space="preserve">is </w:t>
      </w:r>
      <w:r w:rsidR="00036CAC" w:rsidRPr="00FF0D64">
        <w:t>declared and the level of risk to personal safety, property or environment is an immediate risk to escalate.</w:t>
      </w:r>
      <w:r w:rsidR="00102CE6" w:rsidRPr="00FF0D64">
        <w:t xml:space="preserve">  This plan</w:t>
      </w:r>
      <w:r w:rsidR="002A53CD" w:rsidRPr="00FF0D64">
        <w:t xml:space="preserve"> relates to </w:t>
      </w:r>
      <w:r w:rsidR="00F75CF7">
        <w:t>s</w:t>
      </w:r>
      <w:r w:rsidR="00E9225B">
        <w:t>taff</w:t>
      </w:r>
      <w:r w:rsidR="00F75CF7">
        <w:t xml:space="preserve"> and students</w:t>
      </w:r>
      <w:r w:rsidR="00102CE6" w:rsidRPr="00FF0D64">
        <w:t xml:space="preserve"> to a critical incident and</w:t>
      </w:r>
      <w:r w:rsidR="00F66E51" w:rsidRPr="00FF0D64">
        <w:t xml:space="preserve"> supports the Emergency Management Plan (EM</w:t>
      </w:r>
      <w:r w:rsidR="00102CE6" w:rsidRPr="00FF0D64">
        <w:t>P) that exi</w:t>
      </w:r>
      <w:r w:rsidR="00F75CF7">
        <w:t>sts for UNE</w:t>
      </w:r>
      <w:r w:rsidR="00102CE6" w:rsidRPr="00FF0D64">
        <w:t>.</w:t>
      </w:r>
      <w:r w:rsidR="00667047" w:rsidRPr="00FF0D64">
        <w:t xml:space="preserve">  </w:t>
      </w:r>
    </w:p>
    <w:p w:rsidR="00174F11" w:rsidRPr="00FF0D64" w:rsidRDefault="00174F11" w:rsidP="00FF0D64">
      <w:pPr>
        <w:spacing w:line="360" w:lineRule="auto"/>
        <w:ind w:left="113" w:right="340"/>
        <w:jc w:val="both"/>
        <w:rPr>
          <w:b/>
        </w:rPr>
      </w:pPr>
    </w:p>
    <w:p w:rsidR="00966131" w:rsidRPr="00FF0D64" w:rsidRDefault="00966131" w:rsidP="00FF0D64">
      <w:pPr>
        <w:spacing w:line="360" w:lineRule="auto"/>
        <w:ind w:left="113" w:right="340"/>
        <w:jc w:val="both"/>
      </w:pPr>
      <w:r w:rsidRPr="00FF0D64">
        <w:t>There are</w:t>
      </w:r>
      <w:bookmarkStart w:id="0" w:name="_GoBack"/>
      <w:bookmarkEnd w:id="0"/>
      <w:r w:rsidRPr="00FF0D64">
        <w:t xml:space="preserve"> a number of roads that pass through UNE’s Campus that are used by the </w:t>
      </w:r>
      <w:r w:rsidR="00F75CF7">
        <w:t xml:space="preserve">staff and </w:t>
      </w:r>
      <w:r w:rsidRPr="00FF0D64">
        <w:t>students either by car, bus,</w:t>
      </w:r>
      <w:r w:rsidR="00BE068D" w:rsidRPr="00FF0D64">
        <w:t xml:space="preserve"> truck,</w:t>
      </w:r>
      <w:r w:rsidRPr="00FF0D64">
        <w:t xml:space="preserve"> </w:t>
      </w:r>
      <w:proofErr w:type="gramStart"/>
      <w:r w:rsidRPr="00FF0D64">
        <w:t>bike</w:t>
      </w:r>
      <w:proofErr w:type="gramEnd"/>
      <w:r w:rsidRPr="00FF0D64">
        <w:t xml:space="preserve"> or by foot.  Regular flights from Sydney and Brisbane pass directly over the University as the airport is only located 6km south of the Campus. </w:t>
      </w:r>
      <w:r w:rsidR="00BE068D" w:rsidRPr="00FF0D64">
        <w:t>The New England H</w:t>
      </w:r>
      <w:r w:rsidR="00044299">
        <w:t>ighway</w:t>
      </w:r>
      <w:r w:rsidR="00BE068D" w:rsidRPr="00FF0D64">
        <w:t xml:space="preserve"> also passes within 1km to the east of the University.</w:t>
      </w:r>
      <w:r w:rsidRPr="00FF0D64">
        <w:t xml:space="preserve"> An accident on a passenger bus service may involve up to 50 people with regular scheduled bus services passing through the campus, and domestic flights of up to 70 people flying over campus between 0630hrs and 2030hrs daily on either their landing approach or take off.  </w:t>
      </w:r>
    </w:p>
    <w:p w:rsidR="00F75CF7" w:rsidRDefault="00966131" w:rsidP="00FF0D64">
      <w:pPr>
        <w:spacing w:line="360" w:lineRule="auto"/>
        <w:ind w:left="113" w:right="340"/>
        <w:jc w:val="both"/>
      </w:pPr>
      <w:r w:rsidRPr="00FF0D64">
        <w:t>There are often very high human consequences associated with transportation accidents, such as deaths and injuries.</w:t>
      </w:r>
      <w:r w:rsidRPr="00FF0D64">
        <w:rPr>
          <w:b/>
        </w:rPr>
        <w:t xml:space="preserve"> </w:t>
      </w:r>
      <w:r w:rsidR="00BE068D" w:rsidRPr="00FF0D64">
        <w:t>Other dangers present themselves as a consequence of MVA’s like fuel and gas fires/explosions</w:t>
      </w:r>
      <w:r w:rsidR="00AD2791" w:rsidRPr="00FF0D64">
        <w:t>, fuel leaks</w:t>
      </w:r>
      <w:r w:rsidR="008D50FA" w:rsidRPr="00FF0D64">
        <w:t>,</w:t>
      </w:r>
      <w:r w:rsidR="00763C6F">
        <w:t xml:space="preserve"> HAZMAT,</w:t>
      </w:r>
      <w:r w:rsidR="008D50FA" w:rsidRPr="00FF0D64">
        <w:t xml:space="preserve"> electricity</w:t>
      </w:r>
      <w:r w:rsidR="00AD2791" w:rsidRPr="00FF0D64">
        <w:t xml:space="preserve"> and sharps hazards</w:t>
      </w:r>
      <w:r w:rsidR="00F75CF7">
        <w:t>.</w:t>
      </w:r>
    </w:p>
    <w:p w:rsidR="00F75CF7" w:rsidRDefault="00B85B50" w:rsidP="00F75CF7">
      <w:pPr>
        <w:spacing w:line="360" w:lineRule="auto"/>
        <w:ind w:left="113" w:right="340"/>
        <w:jc w:val="both"/>
        <w:rPr>
          <w:rFonts w:eastAsia="Times New Roman" w:cs="Times New Roman"/>
          <w:lang w:val="en-US"/>
        </w:rPr>
      </w:pPr>
      <w:r w:rsidRPr="00FF0D64">
        <w:t>Recommended evacuation distances from various size</w:t>
      </w:r>
      <w:r w:rsidR="00BE068D" w:rsidRPr="00FF0D64">
        <w:t>d gas containers are listed in the</w:t>
      </w:r>
      <w:r w:rsidRPr="00FF0D64">
        <w:t xml:space="preserve"> table below.</w:t>
      </w:r>
      <w:r w:rsidRPr="00FF0D64">
        <w:rPr>
          <w:rFonts w:eastAsia="Times New Roman" w:cs="Times New Roman"/>
          <w:lang w:val="en-US"/>
        </w:rPr>
        <w:t xml:space="preserve">   </w:t>
      </w:r>
    </w:p>
    <w:tbl>
      <w:tblPr>
        <w:tblStyle w:val="TableGrid"/>
        <w:tblW w:w="0" w:type="auto"/>
        <w:tblInd w:w="113" w:type="dxa"/>
        <w:tblLook w:val="04A0" w:firstRow="1" w:lastRow="0" w:firstColumn="1" w:lastColumn="0" w:noHBand="0" w:noVBand="1"/>
      </w:tblPr>
      <w:tblGrid>
        <w:gridCol w:w="2716"/>
        <w:gridCol w:w="1835"/>
        <w:gridCol w:w="2008"/>
        <w:gridCol w:w="1901"/>
        <w:gridCol w:w="1883"/>
      </w:tblGrid>
      <w:tr w:rsidR="001A6CD6" w:rsidTr="00A4599F">
        <w:tc>
          <w:tcPr>
            <w:tcW w:w="4138" w:type="dxa"/>
            <w:gridSpan w:val="2"/>
            <w:shd w:val="clear" w:color="auto" w:fill="70AD47" w:themeFill="accent6"/>
            <w:vAlign w:val="center"/>
          </w:tcPr>
          <w:p w:rsidR="001A6CD6" w:rsidRDefault="001A6CD6" w:rsidP="001A6CD6">
            <w:pPr>
              <w:spacing w:line="360" w:lineRule="auto"/>
              <w:ind w:right="340"/>
              <w:jc w:val="center"/>
            </w:pPr>
            <w:r>
              <w:t>Threat Description</w:t>
            </w:r>
          </w:p>
        </w:tc>
        <w:tc>
          <w:tcPr>
            <w:tcW w:w="2068" w:type="dxa"/>
            <w:shd w:val="clear" w:color="auto" w:fill="70AD47" w:themeFill="accent6"/>
            <w:vAlign w:val="center"/>
          </w:tcPr>
          <w:p w:rsidR="001A6CD6" w:rsidRDefault="001A6CD6" w:rsidP="001A6CD6">
            <w:pPr>
              <w:spacing w:line="360" w:lineRule="auto"/>
              <w:ind w:right="340"/>
              <w:jc w:val="center"/>
            </w:pPr>
            <w:r>
              <w:t>LPG Mass/Volume¹</w:t>
            </w:r>
          </w:p>
        </w:tc>
        <w:tc>
          <w:tcPr>
            <w:tcW w:w="2068" w:type="dxa"/>
            <w:shd w:val="clear" w:color="auto" w:fill="70AD47" w:themeFill="accent6"/>
            <w:vAlign w:val="center"/>
          </w:tcPr>
          <w:p w:rsidR="001A6CD6" w:rsidRDefault="001A6CD6" w:rsidP="001A6CD6">
            <w:pPr>
              <w:spacing w:line="360" w:lineRule="auto"/>
              <w:ind w:right="340"/>
              <w:jc w:val="center"/>
            </w:pPr>
            <w:r>
              <w:t>Fireball Diameter²</w:t>
            </w:r>
          </w:p>
        </w:tc>
        <w:tc>
          <w:tcPr>
            <w:tcW w:w="2069" w:type="dxa"/>
            <w:shd w:val="clear" w:color="auto" w:fill="70AD47" w:themeFill="accent6"/>
            <w:vAlign w:val="center"/>
          </w:tcPr>
          <w:p w:rsidR="001A6CD6" w:rsidRDefault="001A6CD6" w:rsidP="001A6CD6">
            <w:pPr>
              <w:spacing w:line="360" w:lineRule="auto"/>
              <w:ind w:right="340"/>
              <w:jc w:val="center"/>
            </w:pPr>
            <w:r>
              <w:t>Safe Distance³</w:t>
            </w:r>
          </w:p>
        </w:tc>
      </w:tr>
      <w:tr w:rsidR="001A6CD6" w:rsidTr="002C7BDA">
        <w:tc>
          <w:tcPr>
            <w:tcW w:w="2069" w:type="dxa"/>
          </w:tcPr>
          <w:p w:rsidR="001A6CD6" w:rsidRDefault="001A6CD6" w:rsidP="001A6CD6">
            <w:pPr>
              <w:spacing w:line="360" w:lineRule="auto"/>
              <w:ind w:right="340"/>
              <w:jc w:val="center"/>
            </w:pPr>
            <w:r w:rsidRPr="000241D6">
              <w:rPr>
                <w:rFonts w:ascii="Arial" w:hAnsi="Arial"/>
                <w:noProof/>
                <w:sz w:val="20"/>
                <w:lang w:val="en-US"/>
              </w:rPr>
              <w:drawing>
                <wp:inline distT="0" distB="0" distL="0" distR="0" wp14:anchorId="2231DF90" wp14:editId="6E5A64DC">
                  <wp:extent cx="1009650" cy="504825"/>
                  <wp:effectExtent l="0" t="0" r="0" b="9525"/>
                  <wp:docPr id="11" name="Picture 11"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p>
        </w:tc>
        <w:tc>
          <w:tcPr>
            <w:tcW w:w="2069"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Large LPG Tank</w:t>
            </w:r>
          </w:p>
        </w:tc>
        <w:tc>
          <w:tcPr>
            <w:tcW w:w="2068"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45 kg/95 l</w:t>
            </w:r>
          </w:p>
        </w:tc>
        <w:tc>
          <w:tcPr>
            <w:tcW w:w="2068"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21 m</w:t>
            </w:r>
          </w:p>
        </w:tc>
        <w:tc>
          <w:tcPr>
            <w:tcW w:w="2069"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84 m</w:t>
            </w:r>
          </w:p>
        </w:tc>
      </w:tr>
      <w:tr w:rsidR="001A6CD6" w:rsidTr="002C7BDA">
        <w:tc>
          <w:tcPr>
            <w:tcW w:w="2069" w:type="dxa"/>
            <w:vAlign w:val="bottom"/>
          </w:tcPr>
          <w:p w:rsidR="001A6CD6" w:rsidRDefault="001A6CD6" w:rsidP="001A6CD6">
            <w:pPr>
              <w:spacing w:line="360" w:lineRule="auto"/>
              <w:ind w:right="340"/>
              <w:jc w:val="center"/>
              <w:rPr>
                <w:noProof/>
                <w:lang w:eastAsia="en-AU"/>
              </w:rPr>
            </w:pPr>
            <w:r>
              <w:rPr>
                <w:noProof/>
                <w:lang w:val="en-US"/>
              </w:rPr>
              <w:drawing>
                <wp:inline distT="0" distB="0" distL="0" distR="0" wp14:anchorId="7FD15A75" wp14:editId="1D883D08">
                  <wp:extent cx="1150620" cy="640715"/>
                  <wp:effectExtent l="0" t="0" r="0" b="6985"/>
                  <wp:docPr id="13" name="Picture 13" descr="Image result for elgas bu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lgas bu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640715"/>
                          </a:xfrm>
                          <a:prstGeom prst="rect">
                            <a:avLst/>
                          </a:prstGeom>
                          <a:noFill/>
                          <a:ln>
                            <a:noFill/>
                          </a:ln>
                        </pic:spPr>
                      </pic:pic>
                    </a:graphicData>
                  </a:graphic>
                </wp:inline>
              </w:drawing>
            </w:r>
          </w:p>
        </w:tc>
        <w:tc>
          <w:tcPr>
            <w:tcW w:w="2069"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Small LPG Truck</w:t>
            </w:r>
          </w:p>
        </w:tc>
        <w:tc>
          <w:tcPr>
            <w:tcW w:w="2068"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3,630 kg/7,570 l</w:t>
            </w:r>
          </w:p>
        </w:tc>
        <w:tc>
          <w:tcPr>
            <w:tcW w:w="2068"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89 m</w:t>
            </w:r>
          </w:p>
        </w:tc>
        <w:tc>
          <w:tcPr>
            <w:tcW w:w="2069"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356 m</w:t>
            </w:r>
          </w:p>
        </w:tc>
      </w:tr>
      <w:tr w:rsidR="001A6CD6" w:rsidTr="002C7BDA">
        <w:tc>
          <w:tcPr>
            <w:tcW w:w="2069" w:type="dxa"/>
            <w:vAlign w:val="center"/>
          </w:tcPr>
          <w:p w:rsidR="001A6CD6" w:rsidRDefault="001A6CD6" w:rsidP="001A6CD6">
            <w:pPr>
              <w:spacing w:line="360" w:lineRule="auto"/>
              <w:ind w:right="340"/>
              <w:jc w:val="center"/>
              <w:rPr>
                <w:noProof/>
                <w:lang w:eastAsia="en-AU"/>
              </w:rPr>
            </w:pPr>
            <w:r>
              <w:rPr>
                <w:noProof/>
                <w:lang w:val="en-US"/>
              </w:rPr>
              <w:drawing>
                <wp:inline distT="0" distB="0" distL="0" distR="0" wp14:anchorId="34CA4A54" wp14:editId="4F9255A7">
                  <wp:extent cx="1371600" cy="621665"/>
                  <wp:effectExtent l="0" t="0" r="0" b="6985"/>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21665"/>
                          </a:xfrm>
                          <a:prstGeom prst="rect">
                            <a:avLst/>
                          </a:prstGeom>
                          <a:noFill/>
                          <a:ln>
                            <a:noFill/>
                          </a:ln>
                        </pic:spPr>
                      </pic:pic>
                    </a:graphicData>
                  </a:graphic>
                </wp:inline>
              </w:drawing>
            </w:r>
          </w:p>
        </w:tc>
        <w:tc>
          <w:tcPr>
            <w:tcW w:w="2069" w:type="dxa"/>
            <w:vAlign w:val="center"/>
          </w:tcPr>
          <w:p w:rsidR="001A6CD6" w:rsidRPr="000241D6" w:rsidRDefault="001A6CD6" w:rsidP="001A6CD6">
            <w:pPr>
              <w:spacing w:before="40" w:line="360" w:lineRule="auto"/>
              <w:ind w:left="113" w:right="340"/>
              <w:jc w:val="both"/>
              <w:rPr>
                <w:rFonts w:ascii="Arial" w:eastAsia="Arial Unicode MS" w:hAnsi="Arial" w:cs="Arial Unicode MS"/>
                <w:sz w:val="20"/>
                <w:szCs w:val="24"/>
                <w:lang w:val="en-US"/>
              </w:rPr>
            </w:pPr>
            <w:r w:rsidRPr="000241D6">
              <w:rPr>
                <w:rFonts w:ascii="Arial" w:eastAsia="Arial Unicode MS" w:hAnsi="Arial" w:cs="Arial Unicode MS"/>
                <w:sz w:val="20"/>
                <w:szCs w:val="24"/>
                <w:lang w:val="en-US"/>
              </w:rPr>
              <w:t>Semi tanker LPG</w:t>
            </w:r>
          </w:p>
          <w:p w:rsidR="001A6CD6" w:rsidRPr="000241D6" w:rsidRDefault="001A6CD6" w:rsidP="001A6CD6">
            <w:pPr>
              <w:spacing w:line="360" w:lineRule="auto"/>
              <w:ind w:left="113" w:right="340"/>
              <w:jc w:val="both"/>
              <w:rPr>
                <w:rFonts w:ascii="Arial" w:hAnsi="Arial"/>
                <w:sz w:val="20"/>
              </w:rPr>
            </w:pPr>
          </w:p>
        </w:tc>
        <w:tc>
          <w:tcPr>
            <w:tcW w:w="2068"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18,144 kg/37,850 l</w:t>
            </w:r>
          </w:p>
        </w:tc>
        <w:tc>
          <w:tcPr>
            <w:tcW w:w="2068"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152 m</w:t>
            </w:r>
          </w:p>
        </w:tc>
        <w:tc>
          <w:tcPr>
            <w:tcW w:w="2069" w:type="dxa"/>
            <w:vAlign w:val="center"/>
          </w:tcPr>
          <w:p w:rsidR="001A6CD6" w:rsidRPr="000241D6" w:rsidRDefault="001A6CD6" w:rsidP="001A6CD6">
            <w:pPr>
              <w:spacing w:line="360" w:lineRule="auto"/>
              <w:ind w:left="113" w:right="340"/>
              <w:jc w:val="both"/>
              <w:rPr>
                <w:rFonts w:ascii="Arial" w:hAnsi="Arial"/>
                <w:sz w:val="20"/>
              </w:rPr>
            </w:pPr>
            <w:r w:rsidRPr="000241D6">
              <w:rPr>
                <w:rFonts w:ascii="Arial" w:hAnsi="Arial"/>
                <w:sz w:val="20"/>
              </w:rPr>
              <w:t>608 m</w:t>
            </w:r>
          </w:p>
        </w:tc>
      </w:tr>
    </w:tbl>
    <w:p w:rsidR="00F75CF7" w:rsidRDefault="00F75CF7" w:rsidP="001A6CD6">
      <w:pPr>
        <w:spacing w:after="0" w:line="240" w:lineRule="auto"/>
        <w:ind w:left="113" w:right="340"/>
        <w:jc w:val="both"/>
      </w:pPr>
      <w:r>
        <w:t xml:space="preserve">¹ </w:t>
      </w:r>
      <w:r w:rsidRPr="00817A57">
        <w:rPr>
          <w:sz w:val="16"/>
        </w:rPr>
        <w:t>Based on the max amount of material that could reasonably fit into a container or vehicle.  Variations possible</w:t>
      </w:r>
    </w:p>
    <w:p w:rsidR="00F75CF7" w:rsidRDefault="00F75CF7" w:rsidP="001A6CD6">
      <w:pPr>
        <w:spacing w:after="0" w:line="240" w:lineRule="auto"/>
        <w:ind w:left="113" w:right="340"/>
        <w:jc w:val="both"/>
      </w:pPr>
      <w:r>
        <w:t xml:space="preserve">² </w:t>
      </w:r>
      <w:r w:rsidRPr="00817A57">
        <w:rPr>
          <w:sz w:val="16"/>
        </w:rPr>
        <w:t>Assuming efficient mixing of the flammable gas with ambient air</w:t>
      </w:r>
    </w:p>
    <w:p w:rsidR="00F75CF7" w:rsidRDefault="00F75CF7" w:rsidP="001A6CD6">
      <w:pPr>
        <w:spacing w:after="0" w:line="240" w:lineRule="auto"/>
        <w:ind w:left="113" w:right="340"/>
        <w:jc w:val="both"/>
      </w:pPr>
      <w:r>
        <w:t xml:space="preserve">³ </w:t>
      </w:r>
      <w:r w:rsidRPr="00817A57">
        <w:rPr>
          <w:sz w:val="16"/>
        </w:rPr>
        <w:t>Determined by U.S. firefighting practices wherein safe distances are approximately four times the flame height.</w:t>
      </w:r>
    </w:p>
    <w:p w:rsidR="001A6CD6" w:rsidRDefault="001A6CD6" w:rsidP="001A6CD6">
      <w:pPr>
        <w:spacing w:after="0" w:line="360" w:lineRule="auto"/>
        <w:ind w:left="113" w:right="340"/>
        <w:jc w:val="both"/>
        <w:rPr>
          <w:rFonts w:eastAsia="Times New Roman" w:cs="Times New Roman"/>
          <w:lang w:val="en-US"/>
        </w:rPr>
      </w:pPr>
    </w:p>
    <w:p w:rsidR="00BE068D" w:rsidRPr="00FF0D64" w:rsidRDefault="00044299" w:rsidP="001A6CD6">
      <w:pPr>
        <w:spacing w:after="0" w:line="360" w:lineRule="auto"/>
        <w:ind w:left="113" w:right="340"/>
        <w:jc w:val="both"/>
      </w:pPr>
      <w:r>
        <w:rPr>
          <w:rFonts w:eastAsia="Times New Roman" w:cs="Times New Roman"/>
          <w:lang w:val="en-US"/>
        </w:rPr>
        <w:t xml:space="preserve">The </w:t>
      </w:r>
      <w:r>
        <w:t>Primary R</w:t>
      </w:r>
      <w:r w:rsidR="00BE068D" w:rsidRPr="00FF0D64">
        <w:t xml:space="preserve">escue </w:t>
      </w:r>
      <w:r>
        <w:t xml:space="preserve">service </w:t>
      </w:r>
      <w:r w:rsidR="00BE068D" w:rsidRPr="00FF0D64">
        <w:t xml:space="preserve">(Agency responsible for MVA’s) are </w:t>
      </w:r>
      <w:r>
        <w:t>listed below for the following areas:</w:t>
      </w:r>
    </w:p>
    <w:p w:rsidR="00BE068D" w:rsidRPr="00FF0D64" w:rsidRDefault="00BE068D" w:rsidP="00FF0D64">
      <w:pPr>
        <w:pStyle w:val="ListParagraph"/>
        <w:numPr>
          <w:ilvl w:val="0"/>
          <w:numId w:val="37"/>
        </w:numPr>
        <w:spacing w:line="360" w:lineRule="auto"/>
        <w:ind w:right="340"/>
        <w:jc w:val="both"/>
      </w:pPr>
      <w:r w:rsidRPr="00FF0D64">
        <w:lastRenderedPageBreak/>
        <w:t>Guyra – Volunteer Rescue Association (VRA)</w:t>
      </w:r>
    </w:p>
    <w:p w:rsidR="00BE068D" w:rsidRPr="00FF0D64" w:rsidRDefault="00BE068D" w:rsidP="00FF0D64">
      <w:pPr>
        <w:pStyle w:val="ListParagraph"/>
        <w:numPr>
          <w:ilvl w:val="0"/>
          <w:numId w:val="37"/>
        </w:numPr>
        <w:spacing w:line="360" w:lineRule="auto"/>
        <w:ind w:right="340"/>
        <w:jc w:val="both"/>
      </w:pPr>
      <w:r w:rsidRPr="00FF0D64">
        <w:t>Armidale – State Emergency Service (SES)</w:t>
      </w:r>
    </w:p>
    <w:p w:rsidR="00BE068D" w:rsidRPr="00FF0D64" w:rsidRDefault="00BE068D" w:rsidP="00FF0D64">
      <w:pPr>
        <w:pStyle w:val="ListParagraph"/>
        <w:numPr>
          <w:ilvl w:val="0"/>
          <w:numId w:val="37"/>
        </w:numPr>
        <w:spacing w:line="360" w:lineRule="auto"/>
        <w:ind w:right="340"/>
        <w:jc w:val="both"/>
      </w:pPr>
      <w:r w:rsidRPr="00FF0D64">
        <w:t>Uralla – Fire and Rescue NSW (FRNSW)</w:t>
      </w:r>
    </w:p>
    <w:p w:rsidR="00B85B50" w:rsidRPr="00FF0D64" w:rsidRDefault="00BE068D" w:rsidP="00FF0D64">
      <w:pPr>
        <w:spacing w:line="360" w:lineRule="auto"/>
        <w:ind w:left="113" w:right="340"/>
        <w:jc w:val="both"/>
      </w:pPr>
      <w:r w:rsidRPr="00FF0D64">
        <w:t>These agencies will be automatically deployed by the Triple ‘0’</w:t>
      </w:r>
      <w:r w:rsidR="00BC5331" w:rsidRPr="00FF0D64">
        <w:t xml:space="preserve"> operator.</w:t>
      </w:r>
    </w:p>
    <w:p w:rsidR="0002112D" w:rsidRPr="00FF0D64" w:rsidRDefault="00044299" w:rsidP="00FF0D64">
      <w:pPr>
        <w:spacing w:line="360" w:lineRule="auto"/>
        <w:ind w:left="113" w:right="340"/>
        <w:jc w:val="both"/>
        <w:rPr>
          <w:b/>
          <w:sz w:val="28"/>
        </w:rPr>
      </w:pPr>
      <w:r>
        <w:rPr>
          <w:b/>
          <w:sz w:val="28"/>
        </w:rPr>
        <w:t>Immediate Actions</w:t>
      </w:r>
    </w:p>
    <w:p w:rsidR="00615960" w:rsidRPr="00FF0D64" w:rsidRDefault="00615960" w:rsidP="00FF0D64">
      <w:pPr>
        <w:spacing w:line="360" w:lineRule="auto"/>
        <w:ind w:left="113" w:right="340"/>
        <w:jc w:val="both"/>
        <w:rPr>
          <w:rFonts w:ascii="Arial" w:hAnsi="Arial" w:cs="Arial"/>
          <w:color w:val="C00000"/>
          <w:sz w:val="24"/>
        </w:rPr>
      </w:pPr>
      <w:r w:rsidRPr="00FF0D64">
        <w:rPr>
          <w:rFonts w:ascii="Arial" w:hAnsi="Arial" w:cs="Arial"/>
          <w:color w:val="C00000"/>
          <w:sz w:val="24"/>
        </w:rPr>
        <w:t xml:space="preserve">Protect your own life </w:t>
      </w:r>
    </w:p>
    <w:p w:rsidR="00615960" w:rsidRPr="00FF0D64" w:rsidRDefault="00615960" w:rsidP="00FF0D64">
      <w:pPr>
        <w:spacing w:line="360" w:lineRule="auto"/>
        <w:ind w:left="113" w:right="340"/>
        <w:jc w:val="both"/>
      </w:pPr>
      <w:r w:rsidRPr="00FF0D64">
        <w:t>In the absence of any direction from the University, use your best judgement to remove yourself from danger</w:t>
      </w:r>
      <w:r w:rsidR="008D50FA" w:rsidRPr="00FF0D64">
        <w:t>.</w:t>
      </w:r>
    </w:p>
    <w:p w:rsidR="00615960" w:rsidRPr="00FF0D64" w:rsidRDefault="00615960" w:rsidP="00FF0D64">
      <w:pPr>
        <w:spacing w:line="360" w:lineRule="auto"/>
        <w:ind w:left="113" w:right="340"/>
        <w:jc w:val="both"/>
        <w:rPr>
          <w:rFonts w:ascii="Arial" w:hAnsi="Arial" w:cs="Arial"/>
          <w:color w:val="C00000"/>
          <w:sz w:val="24"/>
        </w:rPr>
      </w:pPr>
      <w:r w:rsidRPr="00FF0D64">
        <w:rPr>
          <w:rFonts w:ascii="Arial" w:hAnsi="Arial" w:cs="Arial"/>
          <w:color w:val="C00000"/>
          <w:sz w:val="24"/>
        </w:rPr>
        <w:t>Protect the life of your fellow student or staff member</w:t>
      </w:r>
    </w:p>
    <w:p w:rsidR="00615960" w:rsidRPr="00FF0D64" w:rsidRDefault="00615960" w:rsidP="00FF0D64">
      <w:pPr>
        <w:spacing w:line="360" w:lineRule="auto"/>
        <w:ind w:left="113" w:right="340"/>
        <w:jc w:val="both"/>
      </w:pPr>
      <w:r w:rsidRPr="00FF0D64">
        <w:t>Ring ‘000’ and Safety and Security 6773 2099</w:t>
      </w:r>
      <w:r w:rsidR="00044299">
        <w:t>.</w:t>
      </w:r>
      <w:r w:rsidRPr="00FF0D64">
        <w:t xml:space="preserve"> </w:t>
      </w:r>
    </w:p>
    <w:p w:rsidR="00615960" w:rsidRPr="00FF0D64" w:rsidRDefault="00615960" w:rsidP="00FF0D64">
      <w:pPr>
        <w:spacing w:line="360" w:lineRule="auto"/>
        <w:ind w:left="113" w:right="340"/>
        <w:jc w:val="both"/>
      </w:pPr>
      <w:r w:rsidRPr="00FF0D64">
        <w:t xml:space="preserve">Alert others in your immediate area to the danger, and act together for the benefit of everyone. </w:t>
      </w:r>
    </w:p>
    <w:p w:rsidR="000E0900" w:rsidRPr="00FF0D64" w:rsidRDefault="00AD2791" w:rsidP="00FF0D64">
      <w:pPr>
        <w:spacing w:line="360" w:lineRule="auto"/>
        <w:ind w:left="113" w:right="340"/>
        <w:jc w:val="both"/>
        <w:rPr>
          <w:rFonts w:ascii="Arial" w:hAnsi="Arial" w:cs="Arial"/>
          <w:color w:val="C00000"/>
          <w:sz w:val="24"/>
        </w:rPr>
      </w:pPr>
      <w:r w:rsidRPr="00FF0D64">
        <w:rPr>
          <w:rFonts w:ascii="Arial" w:hAnsi="Arial" w:cs="Arial"/>
          <w:color w:val="C00000"/>
          <w:sz w:val="24"/>
        </w:rPr>
        <w:t>Response</w:t>
      </w:r>
    </w:p>
    <w:p w:rsidR="00AD2791" w:rsidRPr="00FF0D64" w:rsidRDefault="00AD2791" w:rsidP="00FF0D64">
      <w:pPr>
        <w:spacing w:line="360" w:lineRule="auto"/>
        <w:ind w:left="113" w:right="340"/>
        <w:jc w:val="both"/>
        <w:rPr>
          <w:b/>
          <w:u w:val="single"/>
        </w:rPr>
      </w:pPr>
      <w:r w:rsidRPr="00FF0D64">
        <w:rPr>
          <w:b/>
          <w:u w:val="single"/>
        </w:rPr>
        <w:t>On Campus</w:t>
      </w:r>
    </w:p>
    <w:p w:rsidR="00AD2791" w:rsidRPr="00FF0D64" w:rsidRDefault="00AD2791" w:rsidP="00044299">
      <w:pPr>
        <w:pStyle w:val="ListParagraph"/>
        <w:numPr>
          <w:ilvl w:val="0"/>
          <w:numId w:val="38"/>
        </w:numPr>
        <w:spacing w:line="360" w:lineRule="auto"/>
        <w:ind w:right="340"/>
        <w:jc w:val="both"/>
      </w:pPr>
      <w:r w:rsidRPr="00FF0D64">
        <w:t>Ascertain if any person/s injured – if yes, request Ambulance and render First Aid if practicable</w:t>
      </w:r>
      <w:r w:rsidR="00044299">
        <w:t>.</w:t>
      </w:r>
    </w:p>
    <w:p w:rsidR="00AD2791" w:rsidRPr="00FF0D64" w:rsidRDefault="00044299" w:rsidP="00044299">
      <w:pPr>
        <w:pStyle w:val="ListParagraph"/>
        <w:numPr>
          <w:ilvl w:val="0"/>
          <w:numId w:val="38"/>
        </w:numPr>
        <w:spacing w:line="360" w:lineRule="auto"/>
        <w:ind w:right="340"/>
        <w:jc w:val="both"/>
      </w:pPr>
      <w:r>
        <w:t>Determine if vehicle/s pose</w:t>
      </w:r>
      <w:r w:rsidR="00AD2791" w:rsidRPr="00FF0D64">
        <w:t xml:space="preserve"> a hazard to persons nearby (e.g. leaking fuel) – if yes, request appropriate emerg</w:t>
      </w:r>
      <w:r w:rsidR="0071627B" w:rsidRPr="00FF0D64">
        <w:t>ency services (e.g. Primary Rescue Agency</w:t>
      </w:r>
      <w:r w:rsidR="00AD2791" w:rsidRPr="00FF0D64">
        <w:t>) and evacuate persons from immediate danger area</w:t>
      </w:r>
      <w:r>
        <w:t>.</w:t>
      </w:r>
    </w:p>
    <w:p w:rsidR="00AD2791" w:rsidRPr="00FF0D64" w:rsidRDefault="00AD2791" w:rsidP="00044299">
      <w:pPr>
        <w:pStyle w:val="ListParagraph"/>
        <w:numPr>
          <w:ilvl w:val="0"/>
          <w:numId w:val="38"/>
        </w:numPr>
        <w:spacing w:line="360" w:lineRule="auto"/>
        <w:ind w:right="340"/>
        <w:jc w:val="both"/>
      </w:pPr>
      <w:r w:rsidRPr="00FF0D64">
        <w:t xml:space="preserve">If no person </w:t>
      </w:r>
      <w:r w:rsidR="0071627B" w:rsidRPr="00FF0D64">
        <w:t xml:space="preserve">is </w:t>
      </w:r>
      <w:r w:rsidRPr="00FF0D64">
        <w:t>injured and no danger</w:t>
      </w:r>
      <w:r w:rsidR="0071627B" w:rsidRPr="00FF0D64">
        <w:t xml:space="preserve"> exists</w:t>
      </w:r>
      <w:r w:rsidRPr="00FF0D64">
        <w:t>, determine if</w:t>
      </w:r>
      <w:r w:rsidR="0071627B" w:rsidRPr="00FF0D64">
        <w:t xml:space="preserve"> the vehicle/s pose</w:t>
      </w:r>
      <w:r w:rsidRPr="00FF0D64">
        <w:t xml:space="preserve"> an </w:t>
      </w:r>
      <w:r w:rsidR="0071627B" w:rsidRPr="00FF0D64">
        <w:t xml:space="preserve">obstruction to normal </w:t>
      </w:r>
      <w:r w:rsidRPr="00FF0D64">
        <w:t>traffic flow. If yes, request driver/s to move vehicles off road (e.g. into car park) – if</w:t>
      </w:r>
      <w:r w:rsidR="00FF0D64">
        <w:t xml:space="preserve"> the</w:t>
      </w:r>
      <w:r w:rsidRPr="00FF0D64">
        <w:t xml:space="preserve"> vehicle</w:t>
      </w:r>
      <w:r w:rsidR="00FF0D64">
        <w:t xml:space="preserve"> is</w:t>
      </w:r>
      <w:r w:rsidRPr="00FF0D64">
        <w:t xml:space="preserve"> unable to be moved, request</w:t>
      </w:r>
      <w:r w:rsidR="004A7A54">
        <w:t xml:space="preserve"> the</w:t>
      </w:r>
      <w:r w:rsidRPr="00FF0D64">
        <w:t xml:space="preserve"> driver to immediately obtain tow truck assistance</w:t>
      </w:r>
      <w:r w:rsidR="00044299">
        <w:t>.</w:t>
      </w:r>
    </w:p>
    <w:p w:rsidR="00AD2791" w:rsidRPr="00FF0D64" w:rsidRDefault="00AD2791" w:rsidP="00044299">
      <w:pPr>
        <w:pStyle w:val="ListParagraph"/>
        <w:numPr>
          <w:ilvl w:val="0"/>
          <w:numId w:val="38"/>
        </w:numPr>
        <w:spacing w:line="360" w:lineRule="auto"/>
        <w:ind w:right="340"/>
        <w:jc w:val="both"/>
      </w:pPr>
      <w:r w:rsidRPr="00FF0D64">
        <w:t>Confirm if driver/s require Police to be called</w:t>
      </w:r>
      <w:r w:rsidR="0071627B" w:rsidRPr="00FF0D64">
        <w:t xml:space="preserve"> </w:t>
      </w:r>
      <w:r w:rsidRPr="00FF0D64">
        <w:t>(if persons are injured, Police must attend</w:t>
      </w:r>
      <w:r w:rsidR="008D50FA" w:rsidRPr="00FF0D64">
        <w:t>). If</w:t>
      </w:r>
      <w:r w:rsidR="0071627B" w:rsidRPr="00FF0D64">
        <w:t xml:space="preserve"> there has been a fatality then all evidence must be left in place for police investigations.</w:t>
      </w:r>
    </w:p>
    <w:p w:rsidR="00AD2791" w:rsidRPr="00FF0D64" w:rsidRDefault="0071627B" w:rsidP="00FF0D64">
      <w:pPr>
        <w:spacing w:line="360" w:lineRule="auto"/>
        <w:ind w:left="113" w:right="340"/>
        <w:jc w:val="both"/>
        <w:rPr>
          <w:b/>
          <w:u w:val="single"/>
        </w:rPr>
      </w:pPr>
      <w:r w:rsidRPr="00FF0D64">
        <w:rPr>
          <w:b/>
          <w:u w:val="single"/>
        </w:rPr>
        <w:t>Off-Campus</w:t>
      </w:r>
    </w:p>
    <w:p w:rsidR="00AD2791" w:rsidRPr="00FF0D64" w:rsidRDefault="00AD2791" w:rsidP="00FF0D64">
      <w:pPr>
        <w:spacing w:line="360" w:lineRule="auto"/>
        <w:ind w:left="113" w:right="340"/>
        <w:jc w:val="both"/>
      </w:pPr>
      <w:r w:rsidRPr="00FF0D64">
        <w:t>On being advised of a motor vehicle accident involving a University vehicle or believed to involve staff or students engaged in University activities:</w:t>
      </w:r>
    </w:p>
    <w:p w:rsidR="00AD2791" w:rsidRPr="00FF0D64" w:rsidRDefault="00AD2791" w:rsidP="00FF0D64">
      <w:pPr>
        <w:pStyle w:val="ListParagraph"/>
        <w:numPr>
          <w:ilvl w:val="0"/>
          <w:numId w:val="38"/>
        </w:numPr>
        <w:spacing w:line="360" w:lineRule="auto"/>
        <w:ind w:right="340"/>
        <w:jc w:val="both"/>
      </w:pPr>
      <w:r w:rsidRPr="00FF0D64">
        <w:t>Confirm exact location of accident</w:t>
      </w:r>
      <w:r w:rsidR="0071627B" w:rsidRPr="00FF0D64">
        <w:t>, a</w:t>
      </w:r>
      <w:r w:rsidRPr="00FF0D64">
        <w:t>scertain condition of occupants</w:t>
      </w:r>
      <w:r w:rsidR="0071627B" w:rsidRPr="00FF0D64">
        <w:t>, conduct first aid and/or ring Triple ‘0’ if required</w:t>
      </w:r>
      <w:r w:rsidR="00044299">
        <w:t>.</w:t>
      </w:r>
    </w:p>
    <w:p w:rsidR="0057434F" w:rsidRPr="008303B1" w:rsidRDefault="00AD2791" w:rsidP="008303B1">
      <w:pPr>
        <w:pStyle w:val="ListParagraph"/>
        <w:numPr>
          <w:ilvl w:val="0"/>
          <w:numId w:val="38"/>
        </w:numPr>
        <w:spacing w:line="360" w:lineRule="auto"/>
        <w:ind w:right="340"/>
        <w:jc w:val="both"/>
      </w:pPr>
      <w:r w:rsidRPr="00FF0D64">
        <w:t>Inf</w:t>
      </w:r>
      <w:r w:rsidR="00044299">
        <w:t>orm UNE’s WH</w:t>
      </w:r>
      <w:r w:rsidR="0071627B" w:rsidRPr="00FF0D64">
        <w:t>S department.</w:t>
      </w:r>
    </w:p>
    <w:sectPr w:rsidR="0057434F" w:rsidRPr="008303B1" w:rsidSect="002601B2">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AC" w:rsidRDefault="00036CAC" w:rsidP="00036CAC">
      <w:pPr>
        <w:spacing w:after="0" w:line="240" w:lineRule="auto"/>
      </w:pPr>
      <w:r>
        <w:separator/>
      </w:r>
    </w:p>
  </w:endnote>
  <w:endnote w:type="continuationSeparator" w:id="0">
    <w:p w:rsidR="00036CAC" w:rsidRDefault="00036CAC"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044299" w:rsidRPr="00CE4252" w:rsidTr="00E578AB">
      <w:tc>
        <w:tcPr>
          <w:tcW w:w="1477" w:type="dxa"/>
        </w:tcPr>
        <w:p w:rsidR="00044299" w:rsidRPr="00CE4252" w:rsidRDefault="00044299" w:rsidP="00044299">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044299" w:rsidRPr="00CE4252" w:rsidRDefault="00044299" w:rsidP="00044299">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044299" w:rsidRPr="00CE4252" w:rsidRDefault="00044299" w:rsidP="00044299">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044299" w:rsidRPr="00CE4252" w:rsidRDefault="00044299" w:rsidP="00044299">
          <w:pPr>
            <w:pStyle w:val="Footer"/>
            <w:jc w:val="center"/>
            <w:rPr>
              <w:rFonts w:ascii="Arial" w:hAnsi="Arial" w:cs="Arial"/>
              <w:sz w:val="18"/>
              <w:szCs w:val="18"/>
            </w:rPr>
          </w:pPr>
          <w:r>
            <w:rPr>
              <w:rFonts w:ascii="Arial" w:hAnsi="Arial" w:cs="Arial"/>
              <w:sz w:val="18"/>
              <w:szCs w:val="18"/>
            </w:rPr>
            <w:t>Effective Date</w:t>
          </w:r>
        </w:p>
      </w:tc>
      <w:tc>
        <w:tcPr>
          <w:tcW w:w="1477" w:type="dxa"/>
        </w:tcPr>
        <w:p w:rsidR="00044299" w:rsidRPr="00CE4252" w:rsidRDefault="00044299" w:rsidP="00044299">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044299" w:rsidRDefault="00044299" w:rsidP="00044299">
          <w:pPr>
            <w:pStyle w:val="Footer"/>
            <w:jc w:val="center"/>
            <w:rPr>
              <w:rFonts w:ascii="Arial" w:hAnsi="Arial" w:cs="Arial"/>
              <w:sz w:val="18"/>
              <w:szCs w:val="18"/>
            </w:rPr>
          </w:pPr>
          <w:r>
            <w:rPr>
              <w:rFonts w:ascii="Arial" w:hAnsi="Arial" w:cs="Arial"/>
              <w:sz w:val="18"/>
              <w:szCs w:val="18"/>
            </w:rPr>
            <w:t>Page Number</w:t>
          </w:r>
        </w:p>
      </w:tc>
      <w:tc>
        <w:tcPr>
          <w:tcW w:w="1478" w:type="dxa"/>
        </w:tcPr>
        <w:p w:rsidR="00044299" w:rsidRDefault="00044299" w:rsidP="00044299">
          <w:pPr>
            <w:pStyle w:val="Footer"/>
            <w:jc w:val="center"/>
            <w:rPr>
              <w:rFonts w:ascii="Arial" w:hAnsi="Arial" w:cs="Arial"/>
              <w:sz w:val="18"/>
              <w:szCs w:val="18"/>
            </w:rPr>
          </w:pPr>
          <w:r>
            <w:rPr>
              <w:rFonts w:ascii="Arial" w:hAnsi="Arial" w:cs="Arial"/>
              <w:sz w:val="18"/>
              <w:szCs w:val="18"/>
            </w:rPr>
            <w:t xml:space="preserve">Date </w:t>
          </w:r>
        </w:p>
        <w:p w:rsidR="00044299" w:rsidRPr="00CE4252" w:rsidRDefault="00044299" w:rsidP="00044299">
          <w:pPr>
            <w:pStyle w:val="Footer"/>
            <w:jc w:val="center"/>
            <w:rPr>
              <w:rFonts w:ascii="Arial" w:hAnsi="Arial" w:cs="Arial"/>
              <w:sz w:val="18"/>
              <w:szCs w:val="18"/>
            </w:rPr>
          </w:pPr>
          <w:r>
            <w:rPr>
              <w:rFonts w:ascii="Arial" w:hAnsi="Arial" w:cs="Arial"/>
              <w:sz w:val="18"/>
              <w:szCs w:val="18"/>
            </w:rPr>
            <w:t>Printed</w:t>
          </w:r>
        </w:p>
      </w:tc>
    </w:tr>
    <w:tr w:rsidR="00044299" w:rsidRPr="00CE4252" w:rsidTr="00E578AB">
      <w:tc>
        <w:tcPr>
          <w:tcW w:w="1477" w:type="dxa"/>
        </w:tcPr>
        <w:p w:rsidR="00044299" w:rsidRPr="00CE4252" w:rsidRDefault="00044299" w:rsidP="00044299">
          <w:pPr>
            <w:pStyle w:val="Footer"/>
            <w:jc w:val="center"/>
            <w:rPr>
              <w:rFonts w:ascii="Arial" w:hAnsi="Arial" w:cs="Arial"/>
              <w:sz w:val="18"/>
              <w:szCs w:val="18"/>
            </w:rPr>
          </w:pPr>
          <w:r>
            <w:rPr>
              <w:rFonts w:ascii="Arial" w:hAnsi="Arial" w:cs="Arial"/>
              <w:sz w:val="18"/>
              <w:szCs w:val="18"/>
            </w:rPr>
            <w:t>WHS G014</w:t>
          </w:r>
        </w:p>
      </w:tc>
      <w:tc>
        <w:tcPr>
          <w:tcW w:w="1478" w:type="dxa"/>
        </w:tcPr>
        <w:p w:rsidR="00044299" w:rsidRDefault="00044299" w:rsidP="00044299">
          <w:pPr>
            <w:pStyle w:val="Footer"/>
            <w:jc w:val="center"/>
            <w:rPr>
              <w:rFonts w:ascii="Arial" w:hAnsi="Arial" w:cs="Arial"/>
              <w:sz w:val="18"/>
              <w:szCs w:val="18"/>
            </w:rPr>
          </w:pPr>
          <w:r>
            <w:rPr>
              <w:rFonts w:ascii="Arial" w:hAnsi="Arial" w:cs="Arial"/>
              <w:sz w:val="18"/>
              <w:szCs w:val="18"/>
            </w:rPr>
            <w:t>n/a</w:t>
          </w:r>
        </w:p>
      </w:tc>
      <w:tc>
        <w:tcPr>
          <w:tcW w:w="1477" w:type="dxa"/>
        </w:tcPr>
        <w:p w:rsidR="00044299" w:rsidRPr="00CE4252" w:rsidRDefault="00044299" w:rsidP="00044299">
          <w:pPr>
            <w:pStyle w:val="Footer"/>
            <w:jc w:val="center"/>
            <w:rPr>
              <w:rFonts w:ascii="Arial" w:hAnsi="Arial" w:cs="Arial"/>
              <w:sz w:val="18"/>
              <w:szCs w:val="18"/>
            </w:rPr>
          </w:pPr>
          <w:r>
            <w:rPr>
              <w:rFonts w:ascii="Arial" w:hAnsi="Arial" w:cs="Arial"/>
              <w:sz w:val="18"/>
              <w:szCs w:val="18"/>
            </w:rPr>
            <w:t>1.0</w:t>
          </w:r>
        </w:p>
      </w:tc>
      <w:tc>
        <w:tcPr>
          <w:tcW w:w="1478" w:type="dxa"/>
        </w:tcPr>
        <w:p w:rsidR="00044299" w:rsidRPr="00CE4252" w:rsidRDefault="000E64ED" w:rsidP="00044299">
          <w:pPr>
            <w:pStyle w:val="Footer"/>
            <w:jc w:val="center"/>
            <w:rPr>
              <w:rFonts w:ascii="Arial" w:hAnsi="Arial" w:cs="Arial"/>
              <w:sz w:val="18"/>
              <w:szCs w:val="18"/>
            </w:rPr>
          </w:pPr>
          <w:r>
            <w:rPr>
              <w:rFonts w:ascii="Arial" w:hAnsi="Arial" w:cs="Arial"/>
              <w:sz w:val="18"/>
              <w:szCs w:val="18"/>
            </w:rPr>
            <w:t>16/2/2017</w:t>
          </w:r>
        </w:p>
      </w:tc>
      <w:tc>
        <w:tcPr>
          <w:tcW w:w="1477" w:type="dxa"/>
        </w:tcPr>
        <w:p w:rsidR="00044299" w:rsidRPr="00CE4252" w:rsidRDefault="000E64ED" w:rsidP="00044299">
          <w:pPr>
            <w:pStyle w:val="Footer"/>
            <w:jc w:val="center"/>
            <w:rPr>
              <w:rFonts w:ascii="Arial" w:hAnsi="Arial" w:cs="Arial"/>
              <w:sz w:val="18"/>
              <w:szCs w:val="18"/>
            </w:rPr>
          </w:pPr>
          <w:r>
            <w:rPr>
              <w:rFonts w:ascii="Arial" w:hAnsi="Arial" w:cs="Arial"/>
              <w:sz w:val="18"/>
              <w:szCs w:val="18"/>
            </w:rPr>
            <w:t>16/2/2020</w:t>
          </w:r>
        </w:p>
      </w:tc>
      <w:tc>
        <w:tcPr>
          <w:tcW w:w="1478" w:type="dxa"/>
        </w:tcPr>
        <w:p w:rsidR="00044299" w:rsidRPr="00CE4252" w:rsidRDefault="00044299" w:rsidP="00044299">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0E64ED" w:rsidRPr="000E64ED">
            <w:rPr>
              <w:rFonts w:ascii="Arial" w:hAnsi="Arial" w:cs="Arial"/>
              <w:noProof/>
            </w:rPr>
            <w:t>2</w:t>
          </w:r>
          <w:r w:rsidRPr="002D2BBD">
            <w:rPr>
              <w:rFonts w:ascii="Arial" w:hAnsi="Arial" w:cs="Arial"/>
              <w:noProof/>
              <w:sz w:val="18"/>
              <w:szCs w:val="18"/>
            </w:rPr>
            <w:fldChar w:fldCharType="end"/>
          </w:r>
        </w:p>
      </w:tc>
      <w:tc>
        <w:tcPr>
          <w:tcW w:w="1478" w:type="dxa"/>
        </w:tcPr>
        <w:p w:rsidR="00044299" w:rsidRPr="00CE4252" w:rsidRDefault="00044299" w:rsidP="00044299">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0E64ED">
            <w:rPr>
              <w:rFonts w:ascii="Arial" w:hAnsi="Arial" w:cs="Arial"/>
              <w:noProof/>
              <w:sz w:val="18"/>
              <w:szCs w:val="18"/>
            </w:rPr>
            <w:t>27/02/2017</w:t>
          </w:r>
          <w:r>
            <w:rPr>
              <w:rFonts w:ascii="Arial" w:hAnsi="Arial" w:cs="Arial"/>
              <w:sz w:val="18"/>
              <w:szCs w:val="18"/>
            </w:rPr>
            <w:fldChar w:fldCharType="end"/>
          </w:r>
        </w:p>
      </w:tc>
    </w:tr>
  </w:tbl>
  <w:p w:rsidR="00044299" w:rsidRDefault="00044299" w:rsidP="00044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AC" w:rsidRDefault="00036CAC" w:rsidP="00036CAC">
      <w:pPr>
        <w:spacing w:after="0" w:line="240" w:lineRule="auto"/>
      </w:pPr>
      <w:r>
        <w:separator/>
      </w:r>
    </w:p>
  </w:footnote>
  <w:footnote w:type="continuationSeparator" w:id="0">
    <w:p w:rsidR="00036CAC" w:rsidRDefault="00036CAC"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044299" w:rsidRPr="00602490" w:rsidTr="00E578AB">
      <w:tc>
        <w:tcPr>
          <w:tcW w:w="2358" w:type="dxa"/>
        </w:tcPr>
        <w:p w:rsidR="00044299" w:rsidRPr="00A74542" w:rsidRDefault="00044299" w:rsidP="00044299">
          <w:pPr>
            <w:pStyle w:val="Header"/>
            <w:rPr>
              <w:rFonts w:ascii="Arial" w:hAnsi="Arial" w:cs="Arial"/>
              <w:sz w:val="24"/>
              <w:szCs w:val="24"/>
            </w:rPr>
          </w:pPr>
          <w:r>
            <w:rPr>
              <w:noProof/>
              <w:lang w:val="en-US"/>
            </w:rPr>
            <w:drawing>
              <wp:inline distT="0" distB="0" distL="0" distR="0" wp14:anchorId="27BED663" wp14:editId="5F33591F">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044299" w:rsidRPr="00531BD0" w:rsidRDefault="00044299" w:rsidP="00044299">
          <w:pPr>
            <w:rPr>
              <w:b/>
              <w:color w:val="FF0000"/>
              <w:sz w:val="48"/>
              <w:szCs w:val="48"/>
            </w:rPr>
          </w:pPr>
          <w:r w:rsidRPr="00602490">
            <w:rPr>
              <w:b/>
              <w:color w:val="FF0000"/>
              <w:sz w:val="48"/>
              <w:szCs w:val="48"/>
            </w:rPr>
            <w:t xml:space="preserve">Emergency Response Plan – </w:t>
          </w:r>
          <w:r>
            <w:rPr>
              <w:b/>
              <w:color w:val="FF0000"/>
              <w:sz w:val="48"/>
              <w:szCs w:val="48"/>
            </w:rPr>
            <w:t>Motor Vehicle/Aircraft Accident</w:t>
          </w:r>
        </w:p>
      </w:tc>
    </w:tr>
  </w:tbl>
  <w:p w:rsidR="00036CAC" w:rsidRPr="00044299" w:rsidRDefault="00036CAC" w:rsidP="00044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08"/>
    <w:multiLevelType w:val="multilevel"/>
    <w:tmpl w:val="FF3E9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46F"/>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C51"/>
    <w:multiLevelType w:val="hybridMultilevel"/>
    <w:tmpl w:val="9FAAA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F551FB"/>
    <w:multiLevelType w:val="hybridMultilevel"/>
    <w:tmpl w:val="AE7A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C4C"/>
    <w:multiLevelType w:val="multilevel"/>
    <w:tmpl w:val="898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C7837"/>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B396E"/>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15:restartNumberingAfterBreak="0">
    <w:nsid w:val="20CF63A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04265"/>
    <w:multiLevelType w:val="hybridMultilevel"/>
    <w:tmpl w:val="C804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DD7D4E"/>
    <w:multiLevelType w:val="multilevel"/>
    <w:tmpl w:val="F2F2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34A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1358AA"/>
    <w:multiLevelType w:val="hybridMultilevel"/>
    <w:tmpl w:val="6738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17734"/>
    <w:multiLevelType w:val="hybridMultilevel"/>
    <w:tmpl w:val="B3E6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23DA3"/>
    <w:multiLevelType w:val="hybridMultilevel"/>
    <w:tmpl w:val="A45A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357ED"/>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46D8A"/>
    <w:multiLevelType w:val="hybridMultilevel"/>
    <w:tmpl w:val="10D2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F03E68"/>
    <w:multiLevelType w:val="hybridMultilevel"/>
    <w:tmpl w:val="A4BC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9831EC"/>
    <w:multiLevelType w:val="hybridMultilevel"/>
    <w:tmpl w:val="E870A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446493"/>
    <w:multiLevelType w:val="hybridMultilevel"/>
    <w:tmpl w:val="3DC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C23F8"/>
    <w:multiLevelType w:val="hybridMultilevel"/>
    <w:tmpl w:val="3064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3305C"/>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B255B"/>
    <w:multiLevelType w:val="hybridMultilevel"/>
    <w:tmpl w:val="AD66AF8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4FEE1C0E"/>
    <w:multiLevelType w:val="hybridMultilevel"/>
    <w:tmpl w:val="F4F2ABA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53093E06"/>
    <w:multiLevelType w:val="hybridMultilevel"/>
    <w:tmpl w:val="5F42E44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539674B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05153"/>
    <w:multiLevelType w:val="hybridMultilevel"/>
    <w:tmpl w:val="45AE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E1EA2"/>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26BE9"/>
    <w:multiLevelType w:val="hybridMultilevel"/>
    <w:tmpl w:val="4F4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823DD3"/>
    <w:multiLevelType w:val="hybridMultilevel"/>
    <w:tmpl w:val="27D4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922D3"/>
    <w:multiLevelType w:val="hybridMultilevel"/>
    <w:tmpl w:val="7282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360B2"/>
    <w:multiLevelType w:val="hybridMultilevel"/>
    <w:tmpl w:val="27C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7400B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034C1"/>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95AD4"/>
    <w:multiLevelType w:val="hybridMultilevel"/>
    <w:tmpl w:val="A07ACE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70437A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381B33"/>
    <w:multiLevelType w:val="hybridMultilevel"/>
    <w:tmpl w:val="5408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F9E2025"/>
    <w:multiLevelType w:val="hybridMultilevel"/>
    <w:tmpl w:val="DBE4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6"/>
  </w:num>
  <w:num w:numId="4">
    <w:abstractNumId w:val="37"/>
  </w:num>
  <w:num w:numId="5">
    <w:abstractNumId w:val="33"/>
  </w:num>
  <w:num w:numId="6">
    <w:abstractNumId w:val="16"/>
  </w:num>
  <w:num w:numId="7">
    <w:abstractNumId w:val="15"/>
  </w:num>
  <w:num w:numId="8">
    <w:abstractNumId w:val="3"/>
  </w:num>
  <w:num w:numId="9">
    <w:abstractNumId w:val="27"/>
  </w:num>
  <w:num w:numId="10">
    <w:abstractNumId w:val="11"/>
  </w:num>
  <w:num w:numId="11">
    <w:abstractNumId w:val="30"/>
  </w:num>
  <w:num w:numId="12">
    <w:abstractNumId w:val="2"/>
  </w:num>
  <w:num w:numId="13">
    <w:abstractNumId w:val="4"/>
  </w:num>
  <w:num w:numId="14">
    <w:abstractNumId w:val="0"/>
  </w:num>
  <w:num w:numId="15">
    <w:abstractNumId w:val="9"/>
  </w:num>
  <w:num w:numId="16">
    <w:abstractNumId w:val="32"/>
  </w:num>
  <w:num w:numId="17">
    <w:abstractNumId w:val="24"/>
  </w:num>
  <w:num w:numId="18">
    <w:abstractNumId w:val="26"/>
  </w:num>
  <w:num w:numId="19">
    <w:abstractNumId w:val="5"/>
  </w:num>
  <w:num w:numId="20">
    <w:abstractNumId w:val="7"/>
  </w:num>
  <w:num w:numId="21">
    <w:abstractNumId w:val="34"/>
  </w:num>
  <w:num w:numId="22">
    <w:abstractNumId w:val="31"/>
  </w:num>
  <w:num w:numId="23">
    <w:abstractNumId w:val="14"/>
  </w:num>
  <w:num w:numId="24">
    <w:abstractNumId w:val="20"/>
  </w:num>
  <w:num w:numId="25">
    <w:abstractNumId w:val="1"/>
  </w:num>
  <w:num w:numId="26">
    <w:abstractNumId w:val="17"/>
  </w:num>
  <w:num w:numId="27">
    <w:abstractNumId w:val="13"/>
  </w:num>
  <w:num w:numId="28">
    <w:abstractNumId w:val="29"/>
  </w:num>
  <w:num w:numId="29">
    <w:abstractNumId w:val="36"/>
  </w:num>
  <w:num w:numId="30">
    <w:abstractNumId w:val="18"/>
  </w:num>
  <w:num w:numId="31">
    <w:abstractNumId w:val="8"/>
  </w:num>
  <w:num w:numId="32">
    <w:abstractNumId w:val="12"/>
  </w:num>
  <w:num w:numId="33">
    <w:abstractNumId w:val="19"/>
  </w:num>
  <w:num w:numId="34">
    <w:abstractNumId w:val="28"/>
  </w:num>
  <w:num w:numId="35">
    <w:abstractNumId w:val="38"/>
  </w:num>
  <w:num w:numId="36">
    <w:abstractNumId w:val="25"/>
  </w:num>
  <w:num w:numId="37">
    <w:abstractNumId w:val="23"/>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hY1wpmZCGAaMw2+g6LMBP1TOLfnmRHgT6LxGX7LrpQYfSxitDYH9pQwvn10K3srgL8xdY9agL6IbSBU91gPAg==" w:salt="P902GJHwVTx/TXc65nTd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04484"/>
    <w:rsid w:val="0002112D"/>
    <w:rsid w:val="000241D6"/>
    <w:rsid w:val="00026154"/>
    <w:rsid w:val="00036CAC"/>
    <w:rsid w:val="00044299"/>
    <w:rsid w:val="00075028"/>
    <w:rsid w:val="000A6A19"/>
    <w:rsid w:val="000B12E0"/>
    <w:rsid w:val="000D5BB2"/>
    <w:rsid w:val="000E0900"/>
    <w:rsid w:val="000E64ED"/>
    <w:rsid w:val="00102CE6"/>
    <w:rsid w:val="0012418C"/>
    <w:rsid w:val="001356EB"/>
    <w:rsid w:val="00174F11"/>
    <w:rsid w:val="00194060"/>
    <w:rsid w:val="0019526B"/>
    <w:rsid w:val="001A6CD6"/>
    <w:rsid w:val="001C52E0"/>
    <w:rsid w:val="001D7391"/>
    <w:rsid w:val="001F71BE"/>
    <w:rsid w:val="0023179B"/>
    <w:rsid w:val="00242A84"/>
    <w:rsid w:val="002475B8"/>
    <w:rsid w:val="002601B2"/>
    <w:rsid w:val="002745A9"/>
    <w:rsid w:val="00275E33"/>
    <w:rsid w:val="00280D24"/>
    <w:rsid w:val="00285D8A"/>
    <w:rsid w:val="002A53CD"/>
    <w:rsid w:val="002D7080"/>
    <w:rsid w:val="002E31D7"/>
    <w:rsid w:val="002F116C"/>
    <w:rsid w:val="002F3862"/>
    <w:rsid w:val="00340EF3"/>
    <w:rsid w:val="00363BF1"/>
    <w:rsid w:val="003B7D99"/>
    <w:rsid w:val="003C3622"/>
    <w:rsid w:val="00417268"/>
    <w:rsid w:val="00423B52"/>
    <w:rsid w:val="00450697"/>
    <w:rsid w:val="004A7A54"/>
    <w:rsid w:val="00516916"/>
    <w:rsid w:val="0057434F"/>
    <w:rsid w:val="005818C7"/>
    <w:rsid w:val="005C6875"/>
    <w:rsid w:val="005E6467"/>
    <w:rsid w:val="005F6792"/>
    <w:rsid w:val="00605FEB"/>
    <w:rsid w:val="00611B5D"/>
    <w:rsid w:val="00613594"/>
    <w:rsid w:val="00615960"/>
    <w:rsid w:val="00667047"/>
    <w:rsid w:val="00684056"/>
    <w:rsid w:val="00693C56"/>
    <w:rsid w:val="006A6A14"/>
    <w:rsid w:val="006F79A1"/>
    <w:rsid w:val="00703834"/>
    <w:rsid w:val="0070725B"/>
    <w:rsid w:val="0071627B"/>
    <w:rsid w:val="007639D3"/>
    <w:rsid w:val="00763C6F"/>
    <w:rsid w:val="00781021"/>
    <w:rsid w:val="007B5398"/>
    <w:rsid w:val="007F1360"/>
    <w:rsid w:val="007F2389"/>
    <w:rsid w:val="008303B1"/>
    <w:rsid w:val="00835B1F"/>
    <w:rsid w:val="008847A4"/>
    <w:rsid w:val="008C4527"/>
    <w:rsid w:val="008D50FA"/>
    <w:rsid w:val="009478D1"/>
    <w:rsid w:val="00966131"/>
    <w:rsid w:val="00990091"/>
    <w:rsid w:val="009919D3"/>
    <w:rsid w:val="009C3A75"/>
    <w:rsid w:val="009D499A"/>
    <w:rsid w:val="00A243B6"/>
    <w:rsid w:val="00A37A37"/>
    <w:rsid w:val="00A42EA2"/>
    <w:rsid w:val="00A57AA5"/>
    <w:rsid w:val="00AB4026"/>
    <w:rsid w:val="00AB593F"/>
    <w:rsid w:val="00AD2791"/>
    <w:rsid w:val="00AE1027"/>
    <w:rsid w:val="00B37C83"/>
    <w:rsid w:val="00B4200F"/>
    <w:rsid w:val="00B5111A"/>
    <w:rsid w:val="00B53982"/>
    <w:rsid w:val="00B66F5C"/>
    <w:rsid w:val="00B84E93"/>
    <w:rsid w:val="00B85B50"/>
    <w:rsid w:val="00BA185A"/>
    <w:rsid w:val="00BB3EE9"/>
    <w:rsid w:val="00BC3317"/>
    <w:rsid w:val="00BC5331"/>
    <w:rsid w:val="00BD5F29"/>
    <w:rsid w:val="00BE068D"/>
    <w:rsid w:val="00C72A32"/>
    <w:rsid w:val="00C830C7"/>
    <w:rsid w:val="00CC1265"/>
    <w:rsid w:val="00CD3A34"/>
    <w:rsid w:val="00CE7128"/>
    <w:rsid w:val="00D24A63"/>
    <w:rsid w:val="00D773C1"/>
    <w:rsid w:val="00DD19A3"/>
    <w:rsid w:val="00DF1C00"/>
    <w:rsid w:val="00DF7B68"/>
    <w:rsid w:val="00E05AB3"/>
    <w:rsid w:val="00E275D2"/>
    <w:rsid w:val="00E34E07"/>
    <w:rsid w:val="00E4510F"/>
    <w:rsid w:val="00E75828"/>
    <w:rsid w:val="00E9225B"/>
    <w:rsid w:val="00E97C41"/>
    <w:rsid w:val="00EB4CF2"/>
    <w:rsid w:val="00EC21A5"/>
    <w:rsid w:val="00EC4835"/>
    <w:rsid w:val="00ED0475"/>
    <w:rsid w:val="00EE061E"/>
    <w:rsid w:val="00EE1539"/>
    <w:rsid w:val="00EE6428"/>
    <w:rsid w:val="00EF49C3"/>
    <w:rsid w:val="00F10364"/>
    <w:rsid w:val="00F1626A"/>
    <w:rsid w:val="00F550C2"/>
    <w:rsid w:val="00F55B57"/>
    <w:rsid w:val="00F66E51"/>
    <w:rsid w:val="00F747DD"/>
    <w:rsid w:val="00F75CF7"/>
    <w:rsid w:val="00F76574"/>
    <w:rsid w:val="00F82F7C"/>
    <w:rsid w:val="00FA2671"/>
    <w:rsid w:val="00FB3875"/>
    <w:rsid w:val="00FC4F77"/>
    <w:rsid w:val="00FF0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41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1D6"/>
    <w:rPr>
      <w:sz w:val="20"/>
      <w:szCs w:val="20"/>
    </w:rPr>
  </w:style>
  <w:style w:type="character" w:styleId="EndnoteReference">
    <w:name w:val="endnote reference"/>
    <w:basedOn w:val="DefaultParagraphFont"/>
    <w:uiPriority w:val="99"/>
    <w:semiHidden/>
    <w:unhideWhenUsed/>
    <w:rsid w:val="00024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17A8-ABEB-4D9E-898A-F57809D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535</Words>
  <Characters>3055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4</cp:revision>
  <cp:lastPrinted>2016-12-14T23:29:00Z</cp:lastPrinted>
  <dcterms:created xsi:type="dcterms:W3CDTF">2017-02-16T00:41:00Z</dcterms:created>
  <dcterms:modified xsi:type="dcterms:W3CDTF">2017-02-27T00:34:00Z</dcterms:modified>
</cp:coreProperties>
</file>